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43312599"/>
    <w:bookmarkStart w:id="1" w:name="_Toc443313116"/>
    <w:bookmarkStart w:id="2" w:name="_Toc444090571"/>
    <w:bookmarkStart w:id="3" w:name="_GoBack"/>
    <w:bookmarkEnd w:id="3"/>
    <w:p w:rsidR="007E6D61" w:rsidRPr="00AA6642" w:rsidRDefault="00D279EE" w:rsidP="009437F1">
      <w:pPr>
        <w:pStyle w:val="Heading1"/>
        <w:jc w:val="center"/>
        <w:rPr>
          <w:rFonts w:asciiTheme="minorHAnsi" w:hAnsiTheme="minorHAnsi"/>
          <w:lang w:val="lv-LV"/>
        </w:rPr>
      </w:pPr>
      <w:sdt>
        <w:sdtPr>
          <w:rPr>
            <w:lang w:val="lv-LV" w:eastAsia="en-GB"/>
          </w:rPr>
          <w:id w:val="554591831"/>
          <w:placeholder>
            <w:docPart w:val="77EE111BF6B74A819BD25113DB7A63CE"/>
          </w:placeholder>
          <w:showingPlcHdr/>
        </w:sdtPr>
        <w:sdtEndPr/>
        <w:sdtContent>
          <w:r w:rsidR="007E6D61" w:rsidRPr="00AA6642">
            <w:rPr>
              <w:rStyle w:val="Heading1Char"/>
              <w:b/>
              <w:sz w:val="32"/>
              <w:szCs w:val="32"/>
              <w:lang w:val="lv-LV"/>
            </w:rPr>
            <w:t>D-LoT E-Learning Course</w:t>
          </w:r>
        </w:sdtContent>
      </w:sdt>
      <w:bookmarkEnd w:id="0"/>
      <w:bookmarkEnd w:id="1"/>
      <w:bookmarkEnd w:id="2"/>
    </w:p>
    <w:p w:rsidR="00331EEF" w:rsidRPr="00AA6642" w:rsidRDefault="007E6D61" w:rsidP="00313534">
      <w:pPr>
        <w:pStyle w:val="Heading1"/>
        <w:jc w:val="center"/>
        <w:rPr>
          <w:lang w:val="lv-LV"/>
        </w:rPr>
      </w:pPr>
      <w:bookmarkStart w:id="4" w:name="_Toc443312600"/>
      <w:bookmarkStart w:id="5" w:name="_Toc443313117"/>
      <w:bookmarkStart w:id="6" w:name="_Toc444090572"/>
      <w:r w:rsidRPr="00AA6642">
        <w:rPr>
          <w:lang w:val="lv-LV"/>
        </w:rPr>
        <w:t>M</w:t>
      </w:r>
      <w:r w:rsidR="009F6F05" w:rsidRPr="00AA6642">
        <w:rPr>
          <w:lang w:val="lv-LV"/>
        </w:rPr>
        <w:t>ODULIS</w:t>
      </w:r>
      <w:r w:rsidR="005E2DCC" w:rsidRPr="00AA6642">
        <w:rPr>
          <w:lang w:val="lv-LV"/>
        </w:rPr>
        <w:t xml:space="preserve"> I</w:t>
      </w:r>
      <w:r w:rsidR="00D2364E" w:rsidRPr="00AA6642">
        <w:rPr>
          <w:lang w:val="lv-LV"/>
        </w:rPr>
        <w:t>V</w:t>
      </w:r>
      <w:bookmarkEnd w:id="4"/>
      <w:bookmarkEnd w:id="5"/>
      <w:bookmarkEnd w:id="6"/>
    </w:p>
    <w:p w:rsidR="005E2DCC" w:rsidRPr="00AA6642" w:rsidRDefault="009F6F05" w:rsidP="00313534">
      <w:pPr>
        <w:pStyle w:val="Title"/>
        <w:rPr>
          <w:lang w:val="lv-LV"/>
        </w:rPr>
      </w:pPr>
      <w:bookmarkStart w:id="7" w:name="_Toc443312601"/>
      <w:bookmarkStart w:id="8" w:name="_Toc443313118"/>
      <w:r w:rsidRPr="00AA6642">
        <w:rPr>
          <w:lang w:val="lv-LV"/>
        </w:rPr>
        <w:t xml:space="preserve">KOMUNIKĀCIJA, IESAISTĪTO PUŠU SADARBĪBA UN INFORMĀCIJAS SISTĒMAS </w:t>
      </w:r>
      <w:bookmarkEnd w:id="7"/>
      <w:bookmarkEnd w:id="8"/>
    </w:p>
    <w:bookmarkStart w:id="9" w:name="_Toc443312602" w:displacedByCustomXml="next"/>
    <w:sdt>
      <w:sdtPr>
        <w:rPr>
          <w:rFonts w:asciiTheme="minorHAnsi" w:eastAsiaTheme="minorEastAsia" w:hAnsiTheme="minorHAnsi" w:cstheme="minorBidi"/>
          <w:b w:val="0"/>
          <w:bCs w:val="0"/>
          <w:color w:val="404040" w:themeColor="text1" w:themeTint="BF"/>
          <w:sz w:val="24"/>
          <w:szCs w:val="22"/>
          <w:lang w:val="lv-LV" w:eastAsia="fr-BE"/>
        </w:rPr>
        <w:id w:val="-937673191"/>
        <w:docPartObj>
          <w:docPartGallery w:val="Table of Contents"/>
          <w:docPartUnique/>
        </w:docPartObj>
      </w:sdtPr>
      <w:sdtEndPr>
        <w:rPr>
          <w:noProof/>
        </w:rPr>
      </w:sdtEndPr>
      <w:sdtContent>
        <w:p w:rsidR="009437F1" w:rsidRPr="00AA6642" w:rsidRDefault="001D6AE6">
          <w:pPr>
            <w:pStyle w:val="TOCHeading"/>
            <w:rPr>
              <w:lang w:val="lv-LV"/>
            </w:rPr>
          </w:pPr>
          <w:r w:rsidRPr="00AA6642">
            <w:rPr>
              <w:lang w:val="lv-LV"/>
            </w:rPr>
            <w:t>Saturs</w:t>
          </w:r>
        </w:p>
        <w:p w:rsidR="00021F83" w:rsidRPr="00AA6642" w:rsidRDefault="00A21659" w:rsidP="00021F83">
          <w:pPr>
            <w:pStyle w:val="TOC1"/>
            <w:rPr>
              <w:noProof/>
              <w:color w:val="auto"/>
              <w:sz w:val="22"/>
              <w:lang w:val="lv-LV" w:eastAsia="en-GB"/>
            </w:rPr>
          </w:pPr>
          <w:r w:rsidRPr="00AA6642">
            <w:rPr>
              <w:lang w:val="lv-LV"/>
            </w:rPr>
            <w:fldChar w:fldCharType="begin"/>
          </w:r>
          <w:r w:rsidR="009437F1" w:rsidRPr="00AA6642">
            <w:rPr>
              <w:lang w:val="lv-LV"/>
            </w:rPr>
            <w:instrText xml:space="preserve"> TOC \o "1-3" \h \z \u </w:instrText>
          </w:r>
          <w:r w:rsidRPr="00AA6642">
            <w:rPr>
              <w:lang w:val="lv-LV"/>
            </w:rPr>
            <w:fldChar w:fldCharType="separate"/>
          </w:r>
          <w:hyperlink w:anchor="_Toc444090574" w:history="1">
            <w:r w:rsidR="001D6AE6" w:rsidRPr="00AA6642">
              <w:rPr>
                <w:lang w:val="lv-LV"/>
              </w:rPr>
              <w:t xml:space="preserve"> </w:t>
            </w:r>
            <w:r w:rsidR="001D6AE6" w:rsidRPr="00AA6642">
              <w:rPr>
                <w:rStyle w:val="Hyperlink"/>
                <w:noProof/>
                <w:lang w:val="lv-LV"/>
              </w:rPr>
              <w:t>MĀCĪBU PROCESA REZULTĀTI</w:t>
            </w:r>
            <w:r w:rsidR="00021F83" w:rsidRPr="00AA6642">
              <w:rPr>
                <w:rStyle w:val="Hyperlink"/>
                <w:noProof/>
                <w:lang w:val="lv-LV"/>
              </w:rPr>
              <w:t>:</w:t>
            </w:r>
            <w:r w:rsidR="00021F83" w:rsidRPr="00AA6642">
              <w:rPr>
                <w:noProof/>
                <w:webHidden/>
                <w:lang w:val="lv-LV"/>
              </w:rPr>
              <w:tab/>
            </w:r>
            <w:r w:rsidRPr="00AA6642">
              <w:rPr>
                <w:noProof/>
                <w:webHidden/>
                <w:lang w:val="lv-LV"/>
              </w:rPr>
              <w:fldChar w:fldCharType="begin"/>
            </w:r>
            <w:r w:rsidR="00021F83" w:rsidRPr="00AA6642">
              <w:rPr>
                <w:noProof/>
                <w:webHidden/>
                <w:lang w:val="lv-LV"/>
              </w:rPr>
              <w:instrText xml:space="preserve"> PAGEREF _Toc444090574 \h </w:instrText>
            </w:r>
            <w:r w:rsidRPr="00AA6642">
              <w:rPr>
                <w:noProof/>
                <w:webHidden/>
                <w:lang w:val="lv-LV"/>
              </w:rPr>
            </w:r>
            <w:r w:rsidRPr="00AA6642">
              <w:rPr>
                <w:noProof/>
                <w:webHidden/>
                <w:lang w:val="lv-LV"/>
              </w:rPr>
              <w:fldChar w:fldCharType="separate"/>
            </w:r>
            <w:r w:rsidR="00C76CE5" w:rsidRPr="00AA6642">
              <w:rPr>
                <w:noProof/>
                <w:webHidden/>
                <w:lang w:val="lv-LV"/>
              </w:rPr>
              <w:t>2</w:t>
            </w:r>
            <w:r w:rsidRPr="00AA6642">
              <w:rPr>
                <w:noProof/>
                <w:webHidden/>
                <w:lang w:val="lv-LV"/>
              </w:rPr>
              <w:fldChar w:fldCharType="end"/>
            </w:r>
          </w:hyperlink>
        </w:p>
        <w:p w:rsidR="00021F83" w:rsidRPr="00AA6642" w:rsidRDefault="00D279EE" w:rsidP="00021F83">
          <w:pPr>
            <w:pStyle w:val="TOC1"/>
            <w:rPr>
              <w:noProof/>
              <w:color w:val="auto"/>
              <w:sz w:val="22"/>
              <w:lang w:val="lv-LV" w:eastAsia="en-GB"/>
            </w:rPr>
          </w:pPr>
          <w:hyperlink w:anchor="_Toc444090575" w:history="1">
            <w:r w:rsidR="001D6AE6" w:rsidRPr="00AA6642">
              <w:rPr>
                <w:rStyle w:val="Hyperlink"/>
                <w:noProof/>
                <w:lang w:val="lv-LV"/>
              </w:rPr>
              <w:t>GALVENĀS MODUĻA ATZIŅAS</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_Toc444090575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3</w:t>
            </w:r>
            <w:r w:rsidR="00A21659" w:rsidRPr="00AA6642">
              <w:rPr>
                <w:noProof/>
                <w:webHidden/>
                <w:lang w:val="lv-LV"/>
              </w:rPr>
              <w:fldChar w:fldCharType="end"/>
            </w:r>
          </w:hyperlink>
        </w:p>
        <w:p w:rsidR="00021F83" w:rsidRPr="00AA6642" w:rsidRDefault="00D279EE" w:rsidP="00021F83">
          <w:pPr>
            <w:pStyle w:val="TOC1"/>
            <w:rPr>
              <w:noProof/>
              <w:color w:val="auto"/>
              <w:sz w:val="22"/>
              <w:lang w:val="lv-LV" w:eastAsia="en-GB"/>
            </w:rPr>
          </w:pPr>
          <w:hyperlink w:anchor="_Toc444090576" w:history="1">
            <w:r w:rsidR="00021F83" w:rsidRPr="00AA6642">
              <w:rPr>
                <w:rStyle w:val="Hyperlink"/>
                <w:noProof/>
                <w:lang w:val="lv-LV"/>
              </w:rPr>
              <w:t xml:space="preserve">IV.1 </w:t>
            </w:r>
            <w:r w:rsidR="001D6AE6" w:rsidRPr="00AA6642">
              <w:rPr>
                <w:lang w:val="lv-LV"/>
              </w:rPr>
              <w:t>Sadarbības loma pakalpojumu nodrošināšanā</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_Toc444090576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3</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77" w:history="1">
            <w:r w:rsidR="00021F83" w:rsidRPr="00AA6642">
              <w:rPr>
                <w:rStyle w:val="Hyperlink"/>
                <w:noProof/>
                <w:lang w:val="lv-LV"/>
              </w:rPr>
              <w:t xml:space="preserve">IV.1.1 </w:t>
            </w:r>
            <w:r w:rsidR="001D6AE6" w:rsidRPr="00AA6642">
              <w:rPr>
                <w:lang w:val="lv-LV"/>
              </w:rPr>
              <w:t>Sadarbības nepieciešamība</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_Toc444090577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3</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78" w:history="1">
            <w:r w:rsidR="00021F83" w:rsidRPr="00AA6642">
              <w:rPr>
                <w:rStyle w:val="Hyperlink"/>
                <w:noProof/>
                <w:lang w:val="lv-LV"/>
              </w:rPr>
              <w:t xml:space="preserve">IV.1.2 </w:t>
            </w:r>
            <w:r w:rsidR="001D6AE6" w:rsidRPr="00AA6642">
              <w:rPr>
                <w:rStyle w:val="Hyperlink"/>
                <w:noProof/>
                <w:lang w:val="lv-LV"/>
              </w:rPr>
              <w:t>Īsa cilvēktiesību vēsture</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_Toc444090578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6</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79" w:history="1">
            <w:r w:rsidR="00021F83" w:rsidRPr="00AA6642">
              <w:rPr>
                <w:rStyle w:val="Hyperlink"/>
                <w:noProof/>
                <w:lang w:val="lv-LV"/>
              </w:rPr>
              <w:t xml:space="preserve">IV.1.3 </w:t>
            </w:r>
            <w:r w:rsidR="001D6AE6" w:rsidRPr="00AA6642">
              <w:rPr>
                <w:lang w:val="lv-LV"/>
              </w:rPr>
              <w:t>Ieguvumi no sadarbības</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_Toc444090579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7</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80" w:history="1">
            <w:r w:rsidR="00021F83" w:rsidRPr="00AA6642">
              <w:rPr>
                <w:rStyle w:val="Hyperlink"/>
                <w:noProof/>
                <w:lang w:val="lv-LV"/>
              </w:rPr>
              <w:t xml:space="preserve">IV.1.4 </w:t>
            </w:r>
            <w:r w:rsidR="001D6AE6" w:rsidRPr="00AA6642">
              <w:rPr>
                <w:rStyle w:val="Hyperlink"/>
                <w:noProof/>
                <w:lang w:val="lv-LV"/>
              </w:rPr>
              <w:t>Sadarbības jomas</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_Toc444090580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7</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81" w:history="1">
            <w:r w:rsidR="00021F83" w:rsidRPr="00AA6642">
              <w:rPr>
                <w:rStyle w:val="Hyperlink"/>
                <w:noProof/>
                <w:lang w:val="lv-LV"/>
              </w:rPr>
              <w:t xml:space="preserve">IV.1.5 </w:t>
            </w:r>
            <w:r w:rsidR="001D6AE6" w:rsidRPr="00AA6642">
              <w:rPr>
                <w:lang w:val="lv-LV"/>
              </w:rPr>
              <w:t>Veiksmīgas sadarbības pamatfaktori</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_Toc444090581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8</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82" w:history="1">
            <w:r w:rsidR="00021F83" w:rsidRPr="00AA6642">
              <w:rPr>
                <w:rStyle w:val="Hyperlink"/>
                <w:noProof/>
                <w:lang w:val="lv-LV"/>
              </w:rPr>
              <w:t xml:space="preserve">IV.1.6 </w:t>
            </w:r>
            <w:r w:rsidR="001D6AE6" w:rsidRPr="00AA6642">
              <w:rPr>
                <w:lang w:val="lv-LV"/>
              </w:rPr>
              <w:t>Veiksmīga sadarbības procesa svarīgākie faktori</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_Toc444090582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9</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83" w:history="1">
            <w:r w:rsidR="00021F83" w:rsidRPr="00AA6642">
              <w:rPr>
                <w:rStyle w:val="Hyperlink"/>
                <w:noProof/>
                <w:lang w:val="lv-LV"/>
              </w:rPr>
              <w:t xml:space="preserve">IV.1.7 </w:t>
            </w:r>
            <w:r w:rsidR="001D6AE6" w:rsidRPr="00AA6642">
              <w:rPr>
                <w:rStyle w:val="Hyperlink"/>
                <w:noProof/>
                <w:lang w:val="lv-LV"/>
              </w:rPr>
              <w:t>Sadarbības formas</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_Toc444090583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10</w:t>
            </w:r>
            <w:r w:rsidR="00A21659" w:rsidRPr="00AA6642">
              <w:rPr>
                <w:noProof/>
                <w:webHidden/>
                <w:lang w:val="lv-LV"/>
              </w:rPr>
              <w:fldChar w:fldCharType="end"/>
            </w:r>
          </w:hyperlink>
        </w:p>
        <w:p w:rsidR="00021F83" w:rsidRPr="00AA6642" w:rsidRDefault="00D279EE" w:rsidP="00021F83">
          <w:pPr>
            <w:pStyle w:val="TOC1"/>
            <w:rPr>
              <w:noProof/>
              <w:color w:val="auto"/>
              <w:sz w:val="22"/>
              <w:lang w:val="lv-LV" w:eastAsia="en-GB"/>
            </w:rPr>
          </w:pPr>
          <w:hyperlink w:anchor="_Toc444090584" w:history="1">
            <w:r w:rsidR="00021F83" w:rsidRPr="00AA6642">
              <w:rPr>
                <w:rStyle w:val="Hyperlink"/>
                <w:noProof/>
                <w:lang w:val="lv-LV"/>
              </w:rPr>
              <w:t xml:space="preserve">IV.2 </w:t>
            </w:r>
            <w:r w:rsidR="001D6AE6" w:rsidRPr="00AA6642">
              <w:rPr>
                <w:lang w:val="lv-LV"/>
              </w:rPr>
              <w:t>Tīklošanās un ieinteresēto pušu sadarbības mehānismi</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_Toc444090584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10</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85" w:history="1">
            <w:r w:rsidR="00021F83" w:rsidRPr="00AA6642">
              <w:rPr>
                <w:rStyle w:val="Hyperlink"/>
                <w:noProof/>
                <w:lang w:val="lv-LV"/>
              </w:rPr>
              <w:t xml:space="preserve">IV.2.1 </w:t>
            </w:r>
            <w:r w:rsidR="001D6AE6" w:rsidRPr="00AA6642">
              <w:rPr>
                <w:rStyle w:val="Hyperlink"/>
                <w:noProof/>
                <w:lang w:val="lv-LV"/>
              </w:rPr>
              <w:t>Sadarbības tīklu attīstība</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_Toc444090585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10</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86" w:history="1">
            <w:r w:rsidR="00021F83" w:rsidRPr="00AA6642">
              <w:rPr>
                <w:rStyle w:val="Hyperlink"/>
                <w:noProof/>
                <w:lang w:val="lv-LV"/>
              </w:rPr>
              <w:t xml:space="preserve">IV.2.2 </w:t>
            </w:r>
            <w:r w:rsidR="001D6AE6" w:rsidRPr="00AA6642">
              <w:rPr>
                <w:lang w:val="lv-LV"/>
              </w:rPr>
              <w:t>Pamatizvēles</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_Toc444090586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10</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87" w:history="1">
            <w:r w:rsidR="00021F83" w:rsidRPr="00AA6642">
              <w:rPr>
                <w:rStyle w:val="Hyperlink"/>
                <w:noProof/>
                <w:lang w:val="lv-LV"/>
              </w:rPr>
              <w:t>IV.2.3</w:t>
            </w:r>
            <w:r w:rsidR="001D6AE6" w:rsidRPr="00AA6642">
              <w:rPr>
                <w:rStyle w:val="Hyperlink"/>
                <w:noProof/>
                <w:lang w:val="lv-LV"/>
              </w:rPr>
              <w:t xml:space="preserve"> Instrumenti</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_Toc444090587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11</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88" w:history="1">
            <w:r w:rsidR="00021F83" w:rsidRPr="00AA6642">
              <w:rPr>
                <w:rStyle w:val="Hyperlink"/>
                <w:noProof/>
                <w:lang w:val="lv-LV"/>
              </w:rPr>
              <w:t xml:space="preserve">IV.2.4 </w:t>
            </w:r>
            <w:r w:rsidR="001D6AE6" w:rsidRPr="00AA6642">
              <w:rPr>
                <w:rStyle w:val="Hyperlink"/>
                <w:noProof/>
                <w:lang w:val="lv-LV"/>
              </w:rPr>
              <w:t>Gūtās mācības</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_Toc444090588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11</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89" w:history="1">
            <w:r w:rsidR="00021F83" w:rsidRPr="00AA6642">
              <w:rPr>
                <w:rStyle w:val="Hyperlink"/>
                <w:noProof/>
                <w:lang w:val="lv-LV"/>
              </w:rPr>
              <w:t xml:space="preserve">IV.2.5 </w:t>
            </w:r>
            <w:r w:rsidR="001D6AE6" w:rsidRPr="00AA6642">
              <w:rPr>
                <w:lang w:val="lv-LV"/>
              </w:rPr>
              <w:t>Darbības, izstrādājot ieinteresēto pušu pieeju</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_Toc444090589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11</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90" w:history="1">
            <w:r w:rsidR="00021F83" w:rsidRPr="00AA6642">
              <w:rPr>
                <w:rStyle w:val="Hyperlink"/>
                <w:noProof/>
                <w:lang w:val="lv-LV"/>
              </w:rPr>
              <w:t xml:space="preserve">IV.2.6 </w:t>
            </w:r>
            <w:r w:rsidR="001D6AE6" w:rsidRPr="00AA6642">
              <w:rPr>
                <w:lang w:val="lv-LV"/>
              </w:rPr>
              <w:t>Eiropas sadarbības tīklu piemēri (1/7)</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_Toc444090590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12</w:t>
            </w:r>
            <w:r w:rsidR="00A21659" w:rsidRPr="00AA6642">
              <w:rPr>
                <w:noProof/>
                <w:webHidden/>
                <w:lang w:val="lv-LV"/>
              </w:rPr>
              <w:fldChar w:fldCharType="end"/>
            </w:r>
          </w:hyperlink>
        </w:p>
        <w:p w:rsidR="00021F83" w:rsidRPr="00AA6642" w:rsidRDefault="00D279EE" w:rsidP="00021F83">
          <w:pPr>
            <w:pStyle w:val="TOC1"/>
            <w:rPr>
              <w:noProof/>
              <w:color w:val="auto"/>
              <w:sz w:val="22"/>
              <w:lang w:val="lv-LV" w:eastAsia="en-GB"/>
            </w:rPr>
          </w:pPr>
          <w:hyperlink w:anchor="_Toc444090591" w:history="1">
            <w:r w:rsidR="00021F83" w:rsidRPr="00AA6642">
              <w:rPr>
                <w:rStyle w:val="Hyperlink"/>
                <w:noProof/>
                <w:lang w:val="lv-LV"/>
              </w:rPr>
              <w:t xml:space="preserve">IV.3 </w:t>
            </w:r>
            <w:r w:rsidR="001D6AE6" w:rsidRPr="00AA6642">
              <w:rPr>
                <w:lang w:val="lv-LV"/>
              </w:rPr>
              <w:t>Informācijas sistēma sociālo pakalpojumu cilvēkiem ar invaliditāti jomā</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_Toc444090591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14</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92" w:history="1">
            <w:r w:rsidR="00021F83" w:rsidRPr="00AA6642">
              <w:rPr>
                <w:rStyle w:val="Hyperlink"/>
                <w:noProof/>
                <w:lang w:val="lv-LV"/>
              </w:rPr>
              <w:t xml:space="preserve">IV.3.1 </w:t>
            </w:r>
            <w:r w:rsidR="001D6AE6" w:rsidRPr="00AA6642">
              <w:rPr>
                <w:lang w:val="lv-LV"/>
              </w:rPr>
              <w:t>Informācija, kura ir nepieciešama personām ar invaliditāti</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_Toc444090592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15</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93" w:history="1">
            <w:r w:rsidR="00021F83" w:rsidRPr="00AA6642">
              <w:rPr>
                <w:rStyle w:val="Hyperlink"/>
                <w:noProof/>
                <w:lang w:val="lv-LV"/>
              </w:rPr>
              <w:t xml:space="preserve">IV.3.2 </w:t>
            </w:r>
            <w:r w:rsidR="001D6AE6" w:rsidRPr="00AA6642">
              <w:rPr>
                <w:lang w:val="lv-LV"/>
              </w:rPr>
              <w:t>Integrētas informācijas sistēmas veiksmes faktori</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_Toc444090593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15</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94" w:history="1">
            <w:r w:rsidR="00021F83" w:rsidRPr="00AA6642">
              <w:rPr>
                <w:rStyle w:val="Hyperlink"/>
                <w:noProof/>
                <w:lang w:val="lv-LV"/>
              </w:rPr>
              <w:t xml:space="preserve">IV.3.3 </w:t>
            </w:r>
            <w:r w:rsidR="001D6AE6" w:rsidRPr="00AA6642">
              <w:rPr>
                <w:rStyle w:val="Hyperlink"/>
                <w:noProof/>
                <w:lang w:val="lv-LV"/>
              </w:rPr>
              <w:t>Pieejami formāti</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_Toc444090594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16</w:t>
            </w:r>
            <w:r w:rsidR="00A21659" w:rsidRPr="00AA6642">
              <w:rPr>
                <w:noProof/>
                <w:webHidden/>
                <w:lang w:val="lv-LV"/>
              </w:rPr>
              <w:fldChar w:fldCharType="end"/>
            </w:r>
          </w:hyperlink>
        </w:p>
        <w:p w:rsidR="00021F83" w:rsidRPr="00AA6642" w:rsidRDefault="00D279EE" w:rsidP="00021F83">
          <w:pPr>
            <w:pStyle w:val="TOC1"/>
            <w:rPr>
              <w:noProof/>
              <w:color w:val="auto"/>
              <w:sz w:val="22"/>
              <w:lang w:val="lv-LV" w:eastAsia="en-GB"/>
            </w:rPr>
          </w:pPr>
          <w:hyperlink w:anchor="_Toc444090595" w:history="1">
            <w:r w:rsidR="00021F83" w:rsidRPr="00AA6642">
              <w:rPr>
                <w:rStyle w:val="Hyperlink"/>
                <w:noProof/>
                <w:lang w:val="lv-LV"/>
              </w:rPr>
              <w:t xml:space="preserve">IV.4 </w:t>
            </w:r>
            <w:r w:rsidR="001D6AE6" w:rsidRPr="00AA6642">
              <w:rPr>
                <w:lang w:val="lv-LV"/>
              </w:rPr>
              <w:t>Datu apkopošana, informācijas plūsma un atgriezeniskās saites mehānismi</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_Toc444090595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16</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96" w:history="1">
            <w:r w:rsidR="00021F83" w:rsidRPr="00AA6642">
              <w:rPr>
                <w:rStyle w:val="Hyperlink"/>
                <w:noProof/>
                <w:lang w:val="lv-LV"/>
              </w:rPr>
              <w:t xml:space="preserve">IV.4.1 </w:t>
            </w:r>
            <w:r w:rsidR="001D6AE6" w:rsidRPr="00AA6642">
              <w:rPr>
                <w:lang w:val="lv-LV"/>
              </w:rPr>
              <w:t>Kāpēc apkopot datus par invaliditāti</w:t>
            </w:r>
            <w:r w:rsidR="00021F83" w:rsidRPr="00AA6642">
              <w:rPr>
                <w:rStyle w:val="Hyperlink"/>
                <w:noProof/>
                <w:lang w:val="lv-LV"/>
              </w:rPr>
              <w:t>?</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_Toc444090596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1</w:t>
            </w:r>
            <w:r w:rsidR="00A21659" w:rsidRPr="00AA6642">
              <w:rPr>
                <w:noProof/>
                <w:webHidden/>
                <w:lang w:val="lv-LV"/>
              </w:rPr>
              <w:fldChar w:fldCharType="end"/>
            </w:r>
          </w:hyperlink>
          <w:r w:rsidR="001D6AE6" w:rsidRPr="00AA6642">
            <w:rPr>
              <w:lang w:val="lv-LV"/>
            </w:rPr>
            <w:t>7</w:t>
          </w:r>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97" w:history="1">
            <w:r w:rsidR="00021F83" w:rsidRPr="00AA6642">
              <w:rPr>
                <w:rStyle w:val="Hyperlink"/>
                <w:noProof/>
                <w:lang w:val="lv-LV"/>
              </w:rPr>
              <w:t xml:space="preserve">IV.4.2 </w:t>
            </w:r>
            <w:r w:rsidR="001D6AE6" w:rsidRPr="00AA6642">
              <w:rPr>
                <w:rStyle w:val="Hyperlink"/>
                <w:noProof/>
                <w:lang w:val="lv-LV"/>
              </w:rPr>
              <w:t>Invaliditātes mērīšana</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_Toc444090597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17</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98" w:history="1">
            <w:r w:rsidR="00021F83" w:rsidRPr="00AA6642">
              <w:rPr>
                <w:rStyle w:val="Hyperlink"/>
                <w:noProof/>
                <w:lang w:val="lv-LV"/>
              </w:rPr>
              <w:t xml:space="preserve">IV.4.3 </w:t>
            </w:r>
            <w:r w:rsidR="001D6AE6" w:rsidRPr="00AA6642">
              <w:rPr>
                <w:rStyle w:val="Hyperlink"/>
                <w:noProof/>
                <w:lang w:val="lv-LV"/>
              </w:rPr>
              <w:t>ANO Konvencijas monitorings un ieviešana</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_Toc444090598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18</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599" w:history="1">
            <w:r w:rsidR="00021F83" w:rsidRPr="00AA6642">
              <w:rPr>
                <w:rStyle w:val="Hyperlink"/>
                <w:noProof/>
                <w:lang w:val="lv-LV"/>
              </w:rPr>
              <w:t xml:space="preserve">IV.4.4 </w:t>
            </w:r>
            <w:r w:rsidR="001D6AE6" w:rsidRPr="00AA6642">
              <w:rPr>
                <w:rStyle w:val="Hyperlink"/>
                <w:noProof/>
                <w:lang w:val="lv-LV"/>
              </w:rPr>
              <w:t>standarta monitoringa shēma</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_Toc444090599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19</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600" w:history="1">
            <w:r w:rsidR="00021F83" w:rsidRPr="00AA6642">
              <w:rPr>
                <w:rStyle w:val="Hyperlink"/>
                <w:noProof/>
                <w:lang w:val="lv-LV"/>
              </w:rPr>
              <w:t xml:space="preserve">IV.4.5 </w:t>
            </w:r>
            <w:r w:rsidR="001D6AE6" w:rsidRPr="00AA6642">
              <w:rPr>
                <w:rStyle w:val="Hyperlink"/>
                <w:noProof/>
                <w:lang w:val="lv-LV"/>
              </w:rPr>
              <w:t>cilvēktiesību indikātori</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_Toc444090600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19</w:t>
            </w:r>
            <w:r w:rsidR="00A21659" w:rsidRPr="00AA6642">
              <w:rPr>
                <w:noProof/>
                <w:webHidden/>
                <w:lang w:val="lv-LV"/>
              </w:rPr>
              <w:fldChar w:fldCharType="end"/>
            </w:r>
          </w:hyperlink>
        </w:p>
        <w:p w:rsidR="00021F83" w:rsidRPr="00AA6642" w:rsidRDefault="00D279EE" w:rsidP="00021F83">
          <w:pPr>
            <w:pStyle w:val="TOC2"/>
            <w:tabs>
              <w:tab w:val="right" w:leader="dot" w:pos="9060"/>
            </w:tabs>
            <w:spacing w:after="0" w:line="240" w:lineRule="auto"/>
            <w:rPr>
              <w:noProof/>
              <w:color w:val="auto"/>
              <w:sz w:val="22"/>
              <w:lang w:val="lv-LV" w:eastAsia="en-GB"/>
            </w:rPr>
          </w:pPr>
          <w:hyperlink w:anchor="_Toc444090601" w:history="1">
            <w:r w:rsidR="00021F83" w:rsidRPr="00AA6642">
              <w:rPr>
                <w:rStyle w:val="Hyperlink"/>
                <w:noProof/>
                <w:lang w:val="lv-LV"/>
              </w:rPr>
              <w:t xml:space="preserve">IV.4.6 </w:t>
            </w:r>
            <w:r w:rsidR="001D6AE6" w:rsidRPr="00AA6642">
              <w:rPr>
                <w:lang w:val="lv-LV"/>
              </w:rPr>
              <w:t>Invaliditātes datu vai statistikas uzlabojumi</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_Toc444090601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21</w:t>
            </w:r>
            <w:r w:rsidR="00A21659" w:rsidRPr="00AA6642">
              <w:rPr>
                <w:noProof/>
                <w:webHidden/>
                <w:lang w:val="lv-LV"/>
              </w:rPr>
              <w:fldChar w:fldCharType="end"/>
            </w:r>
          </w:hyperlink>
        </w:p>
        <w:p w:rsidR="00021F83" w:rsidRPr="00AA6642" w:rsidRDefault="00D279EE" w:rsidP="00021F83">
          <w:pPr>
            <w:pStyle w:val="TOC1"/>
            <w:rPr>
              <w:noProof/>
              <w:color w:val="auto"/>
              <w:sz w:val="22"/>
              <w:lang w:val="lv-LV" w:eastAsia="en-GB"/>
            </w:rPr>
          </w:pPr>
          <w:hyperlink w:anchor="_Toc444090602" w:history="1">
            <w:r w:rsidR="00021F83" w:rsidRPr="00AA6642">
              <w:rPr>
                <w:rStyle w:val="Hyperlink"/>
                <w:noProof/>
                <w:lang w:val="lv-LV"/>
              </w:rPr>
              <w:t>BIBLIOGR</w:t>
            </w:r>
            <w:r w:rsidR="001D6AE6" w:rsidRPr="00AA6642">
              <w:rPr>
                <w:rStyle w:val="Hyperlink"/>
                <w:noProof/>
                <w:lang w:val="lv-LV"/>
              </w:rPr>
              <w:t>ĀFIJA</w:t>
            </w:r>
            <w:r w:rsidR="00021F83" w:rsidRPr="00AA6642">
              <w:rPr>
                <w:rStyle w:val="Hyperlink"/>
                <w:noProof/>
                <w:lang w:val="lv-LV"/>
              </w:rPr>
              <w:t>/</w:t>
            </w:r>
            <w:r w:rsidR="001D6AE6" w:rsidRPr="00AA6642">
              <w:rPr>
                <w:rStyle w:val="Hyperlink"/>
                <w:noProof/>
                <w:lang w:val="lv-LV"/>
              </w:rPr>
              <w:t>IETEICAMĀ LITERATŪRA</w:t>
            </w:r>
            <w:r w:rsidR="00021F83" w:rsidRPr="00AA6642">
              <w:rPr>
                <w:noProof/>
                <w:webHidden/>
                <w:lang w:val="lv-LV"/>
              </w:rPr>
              <w:tab/>
            </w:r>
            <w:r w:rsidR="00A21659" w:rsidRPr="00AA6642">
              <w:rPr>
                <w:noProof/>
                <w:webHidden/>
                <w:lang w:val="lv-LV"/>
              </w:rPr>
              <w:fldChar w:fldCharType="begin"/>
            </w:r>
            <w:r w:rsidR="00021F83" w:rsidRPr="00AA6642">
              <w:rPr>
                <w:noProof/>
                <w:webHidden/>
                <w:lang w:val="lv-LV"/>
              </w:rPr>
              <w:instrText xml:space="preserve"> PAGEREF _Toc444090602 \h </w:instrText>
            </w:r>
            <w:r w:rsidR="00A21659" w:rsidRPr="00AA6642">
              <w:rPr>
                <w:noProof/>
                <w:webHidden/>
                <w:lang w:val="lv-LV"/>
              </w:rPr>
            </w:r>
            <w:r w:rsidR="00A21659" w:rsidRPr="00AA6642">
              <w:rPr>
                <w:noProof/>
                <w:webHidden/>
                <w:lang w:val="lv-LV"/>
              </w:rPr>
              <w:fldChar w:fldCharType="separate"/>
            </w:r>
            <w:r w:rsidR="00C76CE5" w:rsidRPr="00AA6642">
              <w:rPr>
                <w:noProof/>
                <w:webHidden/>
                <w:lang w:val="lv-LV"/>
              </w:rPr>
              <w:t>23</w:t>
            </w:r>
            <w:r w:rsidR="00A21659" w:rsidRPr="00AA6642">
              <w:rPr>
                <w:noProof/>
                <w:webHidden/>
                <w:lang w:val="lv-LV"/>
              </w:rPr>
              <w:fldChar w:fldCharType="end"/>
            </w:r>
          </w:hyperlink>
        </w:p>
        <w:p w:rsidR="009437F1" w:rsidRPr="00AA6642" w:rsidRDefault="00A21659" w:rsidP="00721BF2">
          <w:pPr>
            <w:spacing w:after="0" w:line="240" w:lineRule="auto"/>
            <w:rPr>
              <w:lang w:val="lv-LV"/>
            </w:rPr>
          </w:pPr>
          <w:r w:rsidRPr="00AA6642">
            <w:rPr>
              <w:b/>
              <w:bCs/>
              <w:noProof/>
              <w:lang w:val="lv-LV"/>
            </w:rPr>
            <w:fldChar w:fldCharType="end"/>
          </w:r>
        </w:p>
      </w:sdtContent>
    </w:sdt>
    <w:p w:rsidR="00721BF2" w:rsidRPr="00AA6642" w:rsidRDefault="00721BF2">
      <w:pPr>
        <w:suppressAutoHyphens w:val="0"/>
        <w:rPr>
          <w:rFonts w:eastAsiaTheme="majorEastAsia" w:cstheme="majorBidi"/>
          <w:b/>
          <w:bCs/>
          <w:color w:val="365F91" w:themeColor="accent1" w:themeShade="BF"/>
          <w:sz w:val="28"/>
          <w:szCs w:val="28"/>
          <w:lang w:val="lv-LV"/>
        </w:rPr>
      </w:pPr>
      <w:bookmarkStart w:id="10" w:name="_Toc443313119"/>
      <w:r w:rsidRPr="00AA6642">
        <w:rPr>
          <w:lang w:val="lv-LV"/>
        </w:rPr>
        <w:br w:type="page"/>
      </w:r>
    </w:p>
    <w:p w:rsidR="00BC5084" w:rsidRPr="00AA6642" w:rsidRDefault="00FC6C92" w:rsidP="00021F83">
      <w:pPr>
        <w:pStyle w:val="Heading1"/>
        <w:tabs>
          <w:tab w:val="left" w:pos="6213"/>
        </w:tabs>
        <w:spacing w:before="0"/>
        <w:rPr>
          <w:rFonts w:asciiTheme="minorHAnsi" w:hAnsiTheme="minorHAnsi"/>
          <w:lang w:val="lv-LV"/>
        </w:rPr>
      </w:pPr>
      <w:bookmarkStart w:id="11" w:name="_Toc444090573"/>
      <w:r w:rsidRPr="00AA6642">
        <w:rPr>
          <w:rFonts w:asciiTheme="minorHAnsi" w:hAnsiTheme="minorHAnsi"/>
          <w:lang w:val="lv-LV"/>
        </w:rPr>
        <w:lastRenderedPageBreak/>
        <w:t>AUT</w:t>
      </w:r>
      <w:r w:rsidR="005E2DCC" w:rsidRPr="00AA6642">
        <w:rPr>
          <w:rFonts w:asciiTheme="minorHAnsi" w:hAnsiTheme="minorHAnsi"/>
          <w:lang w:val="lv-LV"/>
        </w:rPr>
        <w:t>OR</w:t>
      </w:r>
      <w:r w:rsidRPr="00AA6642">
        <w:rPr>
          <w:rFonts w:asciiTheme="minorHAnsi" w:hAnsiTheme="minorHAnsi"/>
          <w:lang w:val="lv-LV"/>
        </w:rPr>
        <w:t>S</w:t>
      </w:r>
      <w:r w:rsidR="005E2DCC" w:rsidRPr="00AA6642">
        <w:rPr>
          <w:rFonts w:asciiTheme="minorHAnsi" w:hAnsiTheme="minorHAnsi"/>
          <w:lang w:val="lv-LV"/>
        </w:rPr>
        <w:t>:</w:t>
      </w:r>
      <w:bookmarkEnd w:id="11"/>
      <w:r w:rsidR="005E2DCC" w:rsidRPr="00AA6642">
        <w:rPr>
          <w:rFonts w:asciiTheme="minorHAnsi" w:hAnsiTheme="minorHAnsi"/>
          <w:lang w:val="lv-LV"/>
        </w:rPr>
        <w:t xml:space="preserve"> </w:t>
      </w:r>
      <w:r w:rsidR="00021F83" w:rsidRPr="00AA6642">
        <w:rPr>
          <w:rFonts w:asciiTheme="minorHAnsi" w:hAnsiTheme="minorHAnsi"/>
          <w:lang w:val="lv-LV"/>
        </w:rPr>
        <w:tab/>
      </w:r>
    </w:p>
    <w:p w:rsidR="005E2DCC" w:rsidRPr="00AA6642" w:rsidRDefault="00D2364E" w:rsidP="00BC5084">
      <w:pPr>
        <w:rPr>
          <w:b/>
          <w:lang w:val="lv-LV"/>
        </w:rPr>
      </w:pPr>
      <w:r w:rsidRPr="00AA6642">
        <w:rPr>
          <w:b/>
          <w:lang w:val="lv-LV"/>
        </w:rPr>
        <w:t>Franz Wolfmayr, EASPD</w:t>
      </w:r>
      <w:bookmarkEnd w:id="9"/>
      <w:bookmarkEnd w:id="10"/>
      <w:r w:rsidR="00FC6C92" w:rsidRPr="00AA6642">
        <w:rPr>
          <w:b/>
          <w:lang w:val="lv-LV"/>
        </w:rPr>
        <w:t xml:space="preserve"> prezidents</w:t>
      </w:r>
    </w:p>
    <w:p w:rsidR="00FC6C92" w:rsidRPr="00AA6642" w:rsidRDefault="00FC6C92" w:rsidP="00FC6C92">
      <w:pPr>
        <w:pStyle w:val="Heading1"/>
        <w:rPr>
          <w:rFonts w:asciiTheme="minorHAnsi" w:hAnsiTheme="minorHAnsi"/>
          <w:lang w:val="lv-LV"/>
        </w:rPr>
      </w:pPr>
      <w:bookmarkStart w:id="12" w:name="_Toc443312603"/>
      <w:bookmarkStart w:id="13" w:name="_Toc447820157"/>
      <w:r w:rsidRPr="00AA6642">
        <w:rPr>
          <w:rFonts w:asciiTheme="minorHAnsi" w:hAnsiTheme="minorHAnsi"/>
          <w:lang w:val="lv-LV"/>
        </w:rPr>
        <w:t>MĀCĪBU PROCESA REZULTĀTI:</w:t>
      </w:r>
      <w:bookmarkEnd w:id="12"/>
      <w:bookmarkEnd w:id="13"/>
      <w:r w:rsidRPr="00AA6642">
        <w:rPr>
          <w:rFonts w:asciiTheme="minorHAnsi" w:hAnsiTheme="minorHAnsi"/>
          <w:lang w:val="lv-LV"/>
        </w:rPr>
        <w:t xml:space="preserve"> </w:t>
      </w:r>
    </w:p>
    <w:p w:rsidR="005E2DCC" w:rsidRPr="00AA6642" w:rsidRDefault="00FC6C92" w:rsidP="00FC6C92">
      <w:pPr>
        <w:pStyle w:val="ListParagraph"/>
        <w:numPr>
          <w:ilvl w:val="0"/>
          <w:numId w:val="2"/>
        </w:numPr>
        <w:rPr>
          <w:rFonts w:eastAsiaTheme="majorEastAsia"/>
          <w:lang w:val="lv-LV"/>
        </w:rPr>
      </w:pPr>
      <w:r w:rsidRPr="00AA6642">
        <w:rPr>
          <w:rFonts w:eastAsiaTheme="majorEastAsia"/>
          <w:b/>
          <w:color w:val="365F91" w:themeColor="accent1" w:themeShade="BF"/>
          <w:sz w:val="32"/>
          <w:szCs w:val="28"/>
          <w:lang w:val="lv-LV"/>
        </w:rPr>
        <w:t xml:space="preserve"> </w:t>
      </w:r>
      <w:r w:rsidRPr="00AA6642">
        <w:rPr>
          <w:rFonts w:eastAsiaTheme="majorEastAsia"/>
          <w:b/>
          <w:color w:val="365F91" w:themeColor="accent1" w:themeShade="BF"/>
          <w:sz w:val="28"/>
          <w:szCs w:val="28"/>
          <w:lang w:val="lv-LV"/>
        </w:rPr>
        <w:t xml:space="preserve">(Zināšanas) </w:t>
      </w:r>
      <w:r w:rsidRPr="00AA6642">
        <w:rPr>
          <w:rFonts w:eastAsiaTheme="majorEastAsia"/>
          <w:lang w:val="lv-LV"/>
        </w:rPr>
        <w:t>Pabeidzot mācību kursu, dalībnieki spēs parādīt zināšanas par:</w:t>
      </w:r>
    </w:p>
    <w:p w:rsidR="00D2364E" w:rsidRPr="00AA6642" w:rsidRDefault="00FC6C92" w:rsidP="00936B86">
      <w:pPr>
        <w:pStyle w:val="ListParagraph"/>
        <w:numPr>
          <w:ilvl w:val="1"/>
          <w:numId w:val="2"/>
        </w:numPr>
        <w:rPr>
          <w:rFonts w:eastAsiaTheme="majorEastAsia"/>
          <w:lang w:val="lv-LV"/>
        </w:rPr>
      </w:pPr>
      <w:r w:rsidRPr="00AA6642">
        <w:rPr>
          <w:lang w:val="lv-LV"/>
        </w:rPr>
        <w:t>Sadarbības un tīklojumu veidošanas pozitīvo ietekmi sociālo pakalpojumu jomā</w:t>
      </w:r>
    </w:p>
    <w:p w:rsidR="00D2364E" w:rsidRPr="00AA6642" w:rsidRDefault="00FC6C92" w:rsidP="00936B86">
      <w:pPr>
        <w:pStyle w:val="ListParagraph"/>
        <w:numPr>
          <w:ilvl w:val="1"/>
          <w:numId w:val="2"/>
        </w:numPr>
        <w:rPr>
          <w:rFonts w:eastAsiaTheme="majorEastAsia"/>
          <w:lang w:val="lv-LV"/>
        </w:rPr>
      </w:pPr>
      <w:r w:rsidRPr="00AA6642">
        <w:rPr>
          <w:lang w:val="lv-LV"/>
        </w:rPr>
        <w:t>Sadarbības un sadarbības tīklu veidošanas panākumu galven</w:t>
      </w:r>
      <w:r w:rsidR="00AA6642" w:rsidRPr="00AA6642">
        <w:rPr>
          <w:lang w:val="lv-LV"/>
        </w:rPr>
        <w:t>aj</w:t>
      </w:r>
      <w:r w:rsidRPr="00AA6642">
        <w:rPr>
          <w:lang w:val="lv-LV"/>
        </w:rPr>
        <w:t>iem faktoriem</w:t>
      </w:r>
    </w:p>
    <w:p w:rsidR="00D2364E" w:rsidRPr="00AA6642" w:rsidRDefault="00FC6C92" w:rsidP="00936B86">
      <w:pPr>
        <w:pStyle w:val="ListParagraph"/>
        <w:numPr>
          <w:ilvl w:val="1"/>
          <w:numId w:val="2"/>
        </w:numPr>
        <w:rPr>
          <w:rFonts w:eastAsiaTheme="majorEastAsia"/>
          <w:lang w:val="lv-LV"/>
        </w:rPr>
      </w:pPr>
      <w:r w:rsidRPr="00AA6642">
        <w:rPr>
          <w:lang w:val="lv-LV"/>
        </w:rPr>
        <w:t xml:space="preserve"> Sociālo pakalpojumu sadarbības organizāciju pozitīviem piemēriem Eiropā un dalībvalstīs</w:t>
      </w:r>
    </w:p>
    <w:p w:rsidR="00D2364E" w:rsidRPr="00AA6642" w:rsidRDefault="00FC6C92" w:rsidP="00936B86">
      <w:pPr>
        <w:pStyle w:val="ListParagraph"/>
        <w:numPr>
          <w:ilvl w:val="1"/>
          <w:numId w:val="2"/>
        </w:numPr>
        <w:rPr>
          <w:rFonts w:eastAsiaTheme="majorEastAsia"/>
          <w:lang w:val="lv-LV"/>
        </w:rPr>
      </w:pPr>
      <w:r w:rsidRPr="00AA6642">
        <w:rPr>
          <w:lang w:val="lv-LV"/>
        </w:rPr>
        <w:t>Partneru un ieinteresēto pušu tipoloģiju</w:t>
      </w:r>
    </w:p>
    <w:p w:rsidR="00D2364E" w:rsidRPr="00AA6642" w:rsidRDefault="00FC6C92" w:rsidP="00936B86">
      <w:pPr>
        <w:pStyle w:val="ListParagraph"/>
        <w:numPr>
          <w:ilvl w:val="1"/>
          <w:numId w:val="2"/>
        </w:numPr>
        <w:rPr>
          <w:rFonts w:eastAsiaTheme="majorEastAsia"/>
          <w:lang w:val="lv-LV"/>
        </w:rPr>
      </w:pPr>
      <w:r w:rsidRPr="00AA6642">
        <w:rPr>
          <w:lang w:val="lv-LV"/>
        </w:rPr>
        <w:t>Kāda informācija ir nepieciešama, lai varētu sniegt pakalpojumus personām, kā arī, lai nodrošinātu reģionālajām vajadzībām atbilstošu</w:t>
      </w:r>
      <w:r w:rsidRPr="00AA6642">
        <w:rPr>
          <w:lang w:val="lv-LV"/>
        </w:rPr>
        <w:br/>
        <w:t>pakalpojumu sistēmu</w:t>
      </w:r>
    </w:p>
    <w:p w:rsidR="00D2364E" w:rsidRPr="00AA6642" w:rsidRDefault="00FC6C92" w:rsidP="00936B86">
      <w:pPr>
        <w:pStyle w:val="ListParagraph"/>
        <w:numPr>
          <w:ilvl w:val="1"/>
          <w:numId w:val="2"/>
        </w:numPr>
        <w:rPr>
          <w:rFonts w:eastAsiaTheme="majorEastAsia"/>
          <w:lang w:val="lv-LV"/>
        </w:rPr>
      </w:pPr>
      <w:r w:rsidRPr="00AA6642">
        <w:rPr>
          <w:lang w:val="lv-LV"/>
        </w:rPr>
        <w:t>Par datu vākšanas metodēm,  to priekšrocībām un trūkumiem</w:t>
      </w:r>
    </w:p>
    <w:p w:rsidR="00D2364E" w:rsidRPr="00AA6642" w:rsidRDefault="00FC6C92" w:rsidP="00936B86">
      <w:pPr>
        <w:pStyle w:val="ListParagraph"/>
        <w:numPr>
          <w:ilvl w:val="1"/>
          <w:numId w:val="2"/>
        </w:numPr>
        <w:rPr>
          <w:rFonts w:eastAsiaTheme="majorEastAsia"/>
          <w:lang w:val="lv-LV"/>
        </w:rPr>
      </w:pPr>
      <w:r w:rsidRPr="00AA6642">
        <w:rPr>
          <w:lang w:val="lv-LV"/>
        </w:rPr>
        <w:t>Atbildību par datu vākšanu un statistiku par ANO Konvenciju</w:t>
      </w:r>
    </w:p>
    <w:p w:rsidR="005E2DCC" w:rsidRPr="00AA6642" w:rsidRDefault="005E2DCC" w:rsidP="00936B86">
      <w:pPr>
        <w:pStyle w:val="ListParagraph"/>
        <w:numPr>
          <w:ilvl w:val="0"/>
          <w:numId w:val="2"/>
        </w:numPr>
        <w:rPr>
          <w:rFonts w:eastAsiaTheme="majorEastAsia"/>
          <w:lang w:val="lv-LV"/>
        </w:rPr>
      </w:pPr>
      <w:r w:rsidRPr="00AA6642">
        <w:rPr>
          <w:rFonts w:eastAsiaTheme="majorEastAsia"/>
          <w:b/>
          <w:color w:val="365F91" w:themeColor="accent1" w:themeShade="BF"/>
          <w:sz w:val="32"/>
          <w:szCs w:val="28"/>
          <w:lang w:val="lv-LV"/>
        </w:rPr>
        <w:t>(</w:t>
      </w:r>
      <w:r w:rsidR="00FC6C92" w:rsidRPr="00AA6642">
        <w:rPr>
          <w:rFonts w:eastAsiaTheme="majorEastAsia"/>
          <w:b/>
          <w:color w:val="365F91" w:themeColor="accent1" w:themeShade="BF"/>
          <w:sz w:val="28"/>
          <w:szCs w:val="28"/>
          <w:lang w:val="lv-LV"/>
        </w:rPr>
        <w:t>Prasmes)</w:t>
      </w:r>
      <w:r w:rsidR="00FC6C92" w:rsidRPr="00AA6642">
        <w:rPr>
          <w:rFonts w:eastAsiaTheme="majorEastAsia"/>
          <w:sz w:val="28"/>
          <w:szCs w:val="24"/>
          <w:lang w:val="lv-LV"/>
        </w:rPr>
        <w:t xml:space="preserve"> </w:t>
      </w:r>
      <w:r w:rsidR="00FC6C92" w:rsidRPr="00AA6642">
        <w:rPr>
          <w:rFonts w:eastAsiaTheme="majorEastAsia"/>
          <w:lang w:val="lv-LV"/>
        </w:rPr>
        <w:t>Pabeidzot mācību kursu, dalībnieki spēs:</w:t>
      </w:r>
    </w:p>
    <w:p w:rsidR="00AD796C" w:rsidRPr="00AA6642" w:rsidRDefault="000B6E58" w:rsidP="00936B86">
      <w:pPr>
        <w:pStyle w:val="ListParagraph"/>
        <w:numPr>
          <w:ilvl w:val="1"/>
          <w:numId w:val="2"/>
        </w:numPr>
        <w:rPr>
          <w:rFonts w:eastAsiaTheme="majorEastAsia"/>
          <w:lang w:val="lv-LV"/>
        </w:rPr>
      </w:pPr>
      <w:r w:rsidRPr="00AA6642">
        <w:rPr>
          <w:lang w:val="lv-LV"/>
        </w:rPr>
        <w:t>Organizēt sadarbību starp sociālo pakalpojumu sniedzējiem un ieinteresētajām pusēm</w:t>
      </w:r>
      <w:r w:rsidRPr="00AA6642">
        <w:rPr>
          <w:rFonts w:eastAsiaTheme="majorEastAsia"/>
          <w:lang w:val="lv-LV"/>
        </w:rPr>
        <w:t xml:space="preserve"> </w:t>
      </w:r>
    </w:p>
    <w:p w:rsidR="00AD796C" w:rsidRPr="00AA6642" w:rsidRDefault="000B6E58" w:rsidP="00936B86">
      <w:pPr>
        <w:pStyle w:val="ListParagraph"/>
        <w:numPr>
          <w:ilvl w:val="1"/>
          <w:numId w:val="2"/>
        </w:numPr>
        <w:rPr>
          <w:rFonts w:eastAsiaTheme="majorEastAsia"/>
          <w:lang w:val="lv-LV"/>
        </w:rPr>
      </w:pPr>
      <w:r w:rsidRPr="00AA6642">
        <w:rPr>
          <w:lang w:val="lv-LV"/>
        </w:rPr>
        <w:t>Sākt veidot tīklojumus sociālo pakalpojumu jomā</w:t>
      </w:r>
    </w:p>
    <w:p w:rsidR="00AD796C" w:rsidRPr="00AA6642" w:rsidRDefault="000B6E58" w:rsidP="00936B86">
      <w:pPr>
        <w:pStyle w:val="ListParagraph"/>
        <w:numPr>
          <w:ilvl w:val="1"/>
          <w:numId w:val="2"/>
        </w:numPr>
        <w:rPr>
          <w:rFonts w:eastAsiaTheme="majorEastAsia"/>
          <w:lang w:val="lv-LV"/>
        </w:rPr>
      </w:pPr>
      <w:r w:rsidRPr="00AA6642">
        <w:rPr>
          <w:lang w:val="lv-LV"/>
        </w:rPr>
        <w:t xml:space="preserve"> Veidot spēcīgu, ilgtspējīgu un uzticamu sadarbību ar katru partneri un ieinteresēto pusi</w:t>
      </w:r>
    </w:p>
    <w:p w:rsidR="00AD796C" w:rsidRPr="00AA6642" w:rsidRDefault="000B6E58" w:rsidP="00936B86">
      <w:pPr>
        <w:pStyle w:val="ListParagraph"/>
        <w:numPr>
          <w:ilvl w:val="1"/>
          <w:numId w:val="2"/>
        </w:numPr>
        <w:rPr>
          <w:rFonts w:eastAsiaTheme="majorEastAsia"/>
          <w:lang w:val="lv-LV"/>
        </w:rPr>
      </w:pPr>
      <w:r w:rsidRPr="00AA6642">
        <w:rPr>
          <w:lang w:val="lv-LV"/>
        </w:rPr>
        <w:t>Izstrādāt datu vākšanas sistēmu par saviem pakalpojumiem</w:t>
      </w:r>
    </w:p>
    <w:p w:rsidR="00AD796C" w:rsidRPr="00AA6642" w:rsidRDefault="000B6E58" w:rsidP="00936B86">
      <w:pPr>
        <w:pStyle w:val="ListParagraph"/>
        <w:numPr>
          <w:ilvl w:val="1"/>
          <w:numId w:val="2"/>
        </w:numPr>
        <w:rPr>
          <w:rFonts w:eastAsiaTheme="majorEastAsia"/>
          <w:lang w:val="lv-LV"/>
        </w:rPr>
      </w:pPr>
      <w:r w:rsidRPr="00AA6642">
        <w:rPr>
          <w:lang w:val="lv-LV"/>
        </w:rPr>
        <w:t xml:space="preserve"> Sniegt informāciju par pakalpojumiem, kas pieejami savā reģionā</w:t>
      </w:r>
    </w:p>
    <w:p w:rsidR="009D2907" w:rsidRPr="00AA6642" w:rsidRDefault="000B6E58" w:rsidP="00936B86">
      <w:pPr>
        <w:pStyle w:val="ListParagraph"/>
        <w:numPr>
          <w:ilvl w:val="1"/>
          <w:numId w:val="2"/>
        </w:numPr>
        <w:rPr>
          <w:rFonts w:eastAsiaTheme="majorEastAsia"/>
          <w:lang w:val="lv-LV"/>
        </w:rPr>
      </w:pPr>
      <w:r w:rsidRPr="00AA6642">
        <w:rPr>
          <w:lang w:val="lv-LV"/>
        </w:rPr>
        <w:t>Izmantot cilvēktiesību rādītājus, izstrādājot visaptverošu un integrētu informācijas sistēmu</w:t>
      </w:r>
    </w:p>
    <w:p w:rsidR="005E2DCC" w:rsidRPr="00AA6642" w:rsidRDefault="005E2DCC" w:rsidP="00936B86">
      <w:pPr>
        <w:pStyle w:val="ListParagraph"/>
        <w:numPr>
          <w:ilvl w:val="0"/>
          <w:numId w:val="2"/>
        </w:numPr>
        <w:rPr>
          <w:rFonts w:eastAsiaTheme="majorEastAsia"/>
          <w:lang w:val="lv-LV"/>
        </w:rPr>
      </w:pPr>
      <w:r w:rsidRPr="00AA6642">
        <w:rPr>
          <w:rFonts w:eastAsiaTheme="majorEastAsia"/>
          <w:b/>
          <w:color w:val="365F91" w:themeColor="accent1" w:themeShade="BF"/>
          <w:sz w:val="32"/>
          <w:szCs w:val="28"/>
          <w:lang w:val="lv-LV"/>
        </w:rPr>
        <w:t>(</w:t>
      </w:r>
      <w:r w:rsidR="000B6E58" w:rsidRPr="00AA6642">
        <w:rPr>
          <w:rFonts w:eastAsiaTheme="majorEastAsia"/>
          <w:b/>
          <w:color w:val="365F91" w:themeColor="accent1" w:themeShade="BF"/>
          <w:sz w:val="28"/>
          <w:szCs w:val="28"/>
          <w:lang w:val="lv-LV"/>
        </w:rPr>
        <w:t>Attieksme)</w:t>
      </w:r>
      <w:r w:rsidR="000B6E58" w:rsidRPr="00AA6642">
        <w:rPr>
          <w:rFonts w:eastAsiaTheme="majorEastAsia"/>
          <w:sz w:val="28"/>
          <w:szCs w:val="24"/>
          <w:lang w:val="lv-LV"/>
        </w:rPr>
        <w:t xml:space="preserve"> </w:t>
      </w:r>
      <w:r w:rsidR="000B6E58" w:rsidRPr="00AA6642">
        <w:rPr>
          <w:rFonts w:eastAsiaTheme="majorEastAsia"/>
          <w:lang w:val="lv-LV"/>
        </w:rPr>
        <w:t>Pabeidzot mācību kursu, dalībnieki spēs:</w:t>
      </w:r>
    </w:p>
    <w:p w:rsidR="00AD796C" w:rsidRPr="00AA6642" w:rsidRDefault="000B6E58" w:rsidP="00936B86">
      <w:pPr>
        <w:pStyle w:val="ListParagraph"/>
        <w:numPr>
          <w:ilvl w:val="1"/>
          <w:numId w:val="2"/>
        </w:numPr>
        <w:rPr>
          <w:rFonts w:eastAsiaTheme="majorEastAsia"/>
          <w:lang w:val="lv-LV"/>
        </w:rPr>
      </w:pPr>
      <w:r w:rsidRPr="00AA6642">
        <w:rPr>
          <w:lang w:val="lv-LV"/>
        </w:rPr>
        <w:t>Novērtēt sadarbību pakalpojumu sniegšanā, un būt gataviem sniegt ieguldījumu</w:t>
      </w:r>
    </w:p>
    <w:p w:rsidR="00AD796C" w:rsidRPr="00AA6642" w:rsidRDefault="000B6E58" w:rsidP="00936B86">
      <w:pPr>
        <w:pStyle w:val="ListParagraph"/>
        <w:numPr>
          <w:ilvl w:val="1"/>
          <w:numId w:val="2"/>
        </w:numPr>
        <w:rPr>
          <w:rFonts w:eastAsiaTheme="majorEastAsia"/>
          <w:lang w:val="lv-LV"/>
        </w:rPr>
      </w:pPr>
      <w:r w:rsidRPr="00AA6642">
        <w:rPr>
          <w:lang w:val="lv-LV"/>
        </w:rPr>
        <w:t>Novērtēt laika ieguldījumu sadarbību un tīklu veidošanu, pat ja rezultāti ne vienmēr ir redzami īstermiņā</w:t>
      </w:r>
    </w:p>
    <w:p w:rsidR="00AD796C" w:rsidRPr="00AA6642" w:rsidRDefault="000B6E58" w:rsidP="00936B86">
      <w:pPr>
        <w:pStyle w:val="ListParagraph"/>
        <w:numPr>
          <w:ilvl w:val="1"/>
          <w:numId w:val="2"/>
        </w:numPr>
        <w:rPr>
          <w:rFonts w:eastAsiaTheme="majorEastAsia"/>
          <w:lang w:val="lv-LV"/>
        </w:rPr>
      </w:pPr>
      <w:r w:rsidRPr="00AA6642">
        <w:rPr>
          <w:lang w:val="lv-LV"/>
        </w:rPr>
        <w:t xml:space="preserve">Zināt, ka sadarbība pakalpojumu sniegšanā </w:t>
      </w:r>
      <w:r w:rsidR="00AA6642" w:rsidRPr="00AA6642">
        <w:rPr>
          <w:lang w:val="lv-LV"/>
        </w:rPr>
        <w:t>ir nepieciešama</w:t>
      </w:r>
      <w:r w:rsidRPr="00AA6642">
        <w:rPr>
          <w:lang w:val="lv-LV"/>
        </w:rPr>
        <w:t>, jo klientu vajadzības ir sarežģītas un kopprodukts ir nākotnes koncepcija, organizējot sociālos pakalpojumus</w:t>
      </w:r>
    </w:p>
    <w:p w:rsidR="00AD796C" w:rsidRPr="00AA6642" w:rsidRDefault="000B6E58" w:rsidP="00936B86">
      <w:pPr>
        <w:pStyle w:val="ListParagraph"/>
        <w:numPr>
          <w:ilvl w:val="1"/>
          <w:numId w:val="2"/>
        </w:numPr>
        <w:rPr>
          <w:rFonts w:eastAsiaTheme="majorEastAsia"/>
          <w:lang w:val="lv-LV"/>
        </w:rPr>
      </w:pPr>
      <w:r w:rsidRPr="00AA6642">
        <w:rPr>
          <w:lang w:val="lv-LV"/>
        </w:rPr>
        <w:t xml:space="preserve">Novērtēt integrētas informācijas sistēmu nozīmīgo lomu, sniedzot pakalpojumus personām ar invaliditāti, kā līdzekli, lai uzlabotu lēmumu </w:t>
      </w:r>
      <w:r w:rsidRPr="00AA6642">
        <w:rPr>
          <w:lang w:val="lv-LV"/>
        </w:rPr>
        <w:lastRenderedPageBreak/>
        <w:t>pieņemšanu, kontroli un uzlabotu pakalpojumu kvalitāti personām ar invaliditāti.</w:t>
      </w:r>
    </w:p>
    <w:p w:rsidR="009D2907" w:rsidRPr="00AA6642" w:rsidRDefault="00DD33D9" w:rsidP="00936B86">
      <w:pPr>
        <w:pStyle w:val="ListParagraph"/>
        <w:numPr>
          <w:ilvl w:val="1"/>
          <w:numId w:val="2"/>
        </w:numPr>
        <w:rPr>
          <w:lang w:val="lv-LV"/>
        </w:rPr>
      </w:pPr>
      <w:r w:rsidRPr="00AA6642">
        <w:rPr>
          <w:lang w:val="lv-LV"/>
        </w:rPr>
        <w:t xml:space="preserve"> Veicināt statistisko un informācijas sistēmu attīstību valstī, lai personas ar invaliditāti varētu realizēt savas tiesības piedalīties sabiedrības dzīvē</w:t>
      </w:r>
    </w:p>
    <w:p w:rsidR="005278AC" w:rsidRPr="00AA6642" w:rsidRDefault="005278AC" w:rsidP="005278AC">
      <w:pPr>
        <w:pStyle w:val="Heading1"/>
        <w:rPr>
          <w:lang w:val="lv-LV"/>
        </w:rPr>
      </w:pPr>
      <w:bookmarkStart w:id="14" w:name="_Toc440290993"/>
      <w:r w:rsidRPr="00AA6642">
        <w:rPr>
          <w:lang w:val="lv-LV"/>
        </w:rPr>
        <w:t xml:space="preserve">GALVENĀS MODUĻA ATZIŅAS </w:t>
      </w:r>
      <w:bookmarkEnd w:id="14"/>
    </w:p>
    <w:p w:rsidR="005278AC" w:rsidRPr="00AA6642" w:rsidRDefault="004B7151" w:rsidP="00936B86">
      <w:pPr>
        <w:rPr>
          <w:lang w:val="lv-LV"/>
        </w:rPr>
      </w:pPr>
      <w:r w:rsidRPr="00AA6642">
        <w:rPr>
          <w:lang w:val="lv-LV"/>
        </w:rPr>
        <w:t xml:space="preserve"> </w:t>
      </w:r>
      <w:r w:rsidR="005278AC" w:rsidRPr="00AA6642">
        <w:rPr>
          <w:lang w:val="lv-LV"/>
        </w:rPr>
        <w:t xml:space="preserve">Kā pakalpojumu sniedzēji mēs cenšamies sniegt </w:t>
      </w:r>
      <w:r w:rsidR="005278AC" w:rsidRPr="00AA6642">
        <w:rPr>
          <w:b/>
          <w:lang w:val="lv-LV"/>
        </w:rPr>
        <w:t>augstas kvalitātes pakalpojumus</w:t>
      </w:r>
      <w:r w:rsidR="005278AC" w:rsidRPr="00AA6642">
        <w:rPr>
          <w:lang w:val="lv-LV"/>
        </w:rPr>
        <w:t>, kas veicina visu personu ar invaliditāti pilnīgu līdzdalību un integrāciju sabiedrībā. Mēs uzskatām, ka atbalsta pakalpojumiem ir būtiska nozīme, lai dotu iespēju cilvēkiem</w:t>
      </w:r>
      <w:r w:rsidR="00DD2894" w:rsidRPr="00AA6642">
        <w:rPr>
          <w:lang w:val="lv-LV"/>
        </w:rPr>
        <w:t xml:space="preserve"> vienlīdzīgi</w:t>
      </w:r>
      <w:r w:rsidR="005278AC" w:rsidRPr="00AA6642">
        <w:rPr>
          <w:lang w:val="lv-LV"/>
        </w:rPr>
        <w:t xml:space="preserve"> izmantot savas cilvē</w:t>
      </w:r>
      <w:r w:rsidR="00DD2894" w:rsidRPr="00AA6642">
        <w:rPr>
          <w:lang w:val="lv-LV"/>
        </w:rPr>
        <w:t>ktiesības</w:t>
      </w:r>
      <w:r w:rsidR="005278AC" w:rsidRPr="00AA6642">
        <w:rPr>
          <w:lang w:val="lv-LV"/>
        </w:rPr>
        <w:t xml:space="preserve">, </w:t>
      </w:r>
      <w:r w:rsidR="00DD2894" w:rsidRPr="00AA6642">
        <w:rPr>
          <w:lang w:val="lv-LV"/>
        </w:rPr>
        <w:t xml:space="preserve"> neņemot vērā invaliditāti vai jebkuru citu faktoru. Uzskatam, ka, </w:t>
      </w:r>
      <w:r w:rsidR="005278AC" w:rsidRPr="00AA6642">
        <w:rPr>
          <w:lang w:val="lv-LV"/>
        </w:rPr>
        <w:t>sociālo pakalpojumu snieg</w:t>
      </w:r>
      <w:r w:rsidR="00DD2894" w:rsidRPr="00AA6642">
        <w:rPr>
          <w:lang w:val="lv-LV"/>
        </w:rPr>
        <w:t>šanas jomā ir nepieciešama savstarpēja sadarbība</w:t>
      </w:r>
      <w:r w:rsidR="005278AC" w:rsidRPr="00AA6642">
        <w:rPr>
          <w:lang w:val="lv-LV"/>
        </w:rPr>
        <w:t>.</w:t>
      </w:r>
    </w:p>
    <w:p w:rsidR="00AD796C" w:rsidRPr="00AA6642" w:rsidRDefault="004B7151" w:rsidP="00936B86">
      <w:pPr>
        <w:rPr>
          <w:lang w:val="lv-LV"/>
        </w:rPr>
      </w:pPr>
      <w:r w:rsidRPr="00AA6642">
        <w:rPr>
          <w:lang w:val="lv-LV"/>
        </w:rPr>
        <w:t xml:space="preserve">Ir </w:t>
      </w:r>
      <w:r w:rsidRPr="00AA6642">
        <w:rPr>
          <w:b/>
          <w:lang w:val="lv-LV"/>
        </w:rPr>
        <w:t>politiski iemesli</w:t>
      </w:r>
      <w:r w:rsidRPr="00AA6642">
        <w:rPr>
          <w:lang w:val="lv-LV"/>
        </w:rPr>
        <w:t xml:space="preserve">: pārstāvēt nozari, </w:t>
      </w:r>
      <w:r w:rsidR="000D6FC7" w:rsidRPr="00AA6642">
        <w:rPr>
          <w:lang w:val="lv-LV"/>
        </w:rPr>
        <w:t>iestāties par</w:t>
      </w:r>
      <w:r w:rsidRPr="00AA6642">
        <w:rPr>
          <w:lang w:val="lv-LV"/>
        </w:rPr>
        <w:t xml:space="preserve"> pārredzamu un ilgtspēj</w:t>
      </w:r>
      <w:r w:rsidR="000D6FC7" w:rsidRPr="00AA6642">
        <w:rPr>
          <w:lang w:val="lv-LV"/>
        </w:rPr>
        <w:t>īgu tiesisko regulējumu, un</w:t>
      </w:r>
      <w:r w:rsidRPr="00AA6642">
        <w:rPr>
          <w:lang w:val="lv-LV"/>
        </w:rPr>
        <w:t xml:space="preserve"> </w:t>
      </w:r>
      <w:r w:rsidR="000D6FC7" w:rsidRPr="00AA6642">
        <w:rPr>
          <w:lang w:val="lv-LV"/>
        </w:rPr>
        <w:t>pozitīvi ietekmēt sabiedrību</w:t>
      </w:r>
      <w:r w:rsidRPr="00AA6642">
        <w:rPr>
          <w:lang w:val="lv-LV"/>
        </w:rPr>
        <w:t>.</w:t>
      </w:r>
    </w:p>
    <w:p w:rsidR="00AD796C" w:rsidRPr="00AA6642" w:rsidRDefault="000D6FC7" w:rsidP="00936B86">
      <w:pPr>
        <w:rPr>
          <w:lang w:val="lv-LV"/>
        </w:rPr>
      </w:pPr>
      <w:r w:rsidRPr="00AA6642">
        <w:rPr>
          <w:lang w:val="lv-LV"/>
        </w:rPr>
        <w:t xml:space="preserve">Un ir arī </w:t>
      </w:r>
      <w:r w:rsidRPr="00AA6642">
        <w:rPr>
          <w:b/>
          <w:lang w:val="lv-LV"/>
        </w:rPr>
        <w:t>iemesli saistīti ar kvalitāti</w:t>
      </w:r>
      <w:r w:rsidRPr="00AA6642">
        <w:rPr>
          <w:lang w:val="lv-LV"/>
        </w:rPr>
        <w:t xml:space="preserve">: sadarbība starp dažādiem pakalpojumu sniedzējiem ir obligāta, lai sniegtu pakalpojumus </w:t>
      </w:r>
      <w:r w:rsidRPr="00AA6642">
        <w:rPr>
          <w:b/>
          <w:lang w:val="lv-LV"/>
        </w:rPr>
        <w:t xml:space="preserve">atbilstoši personu ar invaliditāti vajadzībām </w:t>
      </w:r>
      <w:r w:rsidRPr="00AA6642">
        <w:rPr>
          <w:lang w:val="lv-LV"/>
        </w:rPr>
        <w:t xml:space="preserve">un </w:t>
      </w:r>
      <w:r w:rsidRPr="00AA6642">
        <w:rPr>
          <w:b/>
          <w:lang w:val="lv-LV"/>
        </w:rPr>
        <w:t>iestātos par pakalpojumu lietotāju tiesībām</w:t>
      </w:r>
      <w:r w:rsidRPr="00AA6642">
        <w:rPr>
          <w:lang w:val="lv-LV"/>
        </w:rPr>
        <w:t>. Mums ir jāizveido atbalsta tīkls ap katru atsevišķu klientu.</w:t>
      </w:r>
    </w:p>
    <w:p w:rsidR="000D6FC7" w:rsidRPr="00AA6642" w:rsidRDefault="000D6FC7" w:rsidP="00936B86">
      <w:pPr>
        <w:rPr>
          <w:lang w:val="lv-LV"/>
        </w:rPr>
      </w:pPr>
      <w:r w:rsidRPr="00AA6642">
        <w:rPr>
          <w:lang w:val="lv-LV"/>
        </w:rPr>
        <w:t xml:space="preserve">Lai varētu uzlabot lēmumu pieņemšanu, kontroli un </w:t>
      </w:r>
      <w:r w:rsidR="000166B7" w:rsidRPr="00AA6642">
        <w:rPr>
          <w:lang w:val="lv-LV"/>
        </w:rPr>
        <w:t xml:space="preserve">personām ar invaliditāti </w:t>
      </w:r>
      <w:r w:rsidRPr="00AA6642">
        <w:rPr>
          <w:lang w:val="lv-LV"/>
        </w:rPr>
        <w:t>sniegto pakalpojumu kvalitāti</w:t>
      </w:r>
      <w:r w:rsidR="000166B7" w:rsidRPr="00AA6642">
        <w:rPr>
          <w:lang w:val="lv-LV"/>
        </w:rPr>
        <w:t>,</w:t>
      </w:r>
      <w:r w:rsidRPr="00AA6642">
        <w:rPr>
          <w:lang w:val="lv-LV"/>
        </w:rPr>
        <w:t xml:space="preserve"> organizācijām ir </w:t>
      </w:r>
      <w:r w:rsidR="000166B7" w:rsidRPr="00AA6642">
        <w:rPr>
          <w:lang w:val="lv-LV"/>
        </w:rPr>
        <w:t>nepieciešama integrēta informācijas sistēma</w:t>
      </w:r>
      <w:r w:rsidRPr="00AA6642">
        <w:rPr>
          <w:lang w:val="lv-LV"/>
        </w:rPr>
        <w:t xml:space="preserve">. Arī </w:t>
      </w:r>
      <w:r w:rsidR="000166B7" w:rsidRPr="00AA6642">
        <w:rPr>
          <w:lang w:val="lv-LV"/>
        </w:rPr>
        <w:t>ANO Konvencija uzliek valstīm pienākumu</w:t>
      </w:r>
      <w:r w:rsidRPr="00AA6642">
        <w:rPr>
          <w:lang w:val="lv-LV"/>
        </w:rPr>
        <w:t xml:space="preserve"> ieviest šādas sistēmas. Tāpēc veids, kādā informācija par</w:t>
      </w:r>
      <w:r w:rsidR="000166B7" w:rsidRPr="00AA6642">
        <w:rPr>
          <w:lang w:val="lv-LV"/>
        </w:rPr>
        <w:t xml:space="preserve"> pakalpojumu lietotājiem</w:t>
      </w:r>
      <w:r w:rsidRPr="00AA6642">
        <w:rPr>
          <w:lang w:val="lv-LV"/>
        </w:rPr>
        <w:t>, pakalpojumiem un lēmumu pieņēmējiem ir strukturēts un or</w:t>
      </w:r>
      <w:r w:rsidR="000166B7" w:rsidRPr="00AA6642">
        <w:rPr>
          <w:lang w:val="lv-LV"/>
        </w:rPr>
        <w:t>ganizēts ir galvenais regulatīvais mehānisms</w:t>
      </w:r>
      <w:r w:rsidRPr="00AA6642">
        <w:rPr>
          <w:lang w:val="lv-LV"/>
        </w:rPr>
        <w:t xml:space="preserve"> pa</w:t>
      </w:r>
      <w:r w:rsidR="000166B7" w:rsidRPr="00AA6642">
        <w:rPr>
          <w:lang w:val="lv-LV"/>
        </w:rPr>
        <w:t>šai pakalpojumu sistēmai</w:t>
      </w:r>
      <w:r w:rsidRPr="00AA6642">
        <w:rPr>
          <w:lang w:val="lv-LV"/>
        </w:rPr>
        <w:t>.</w:t>
      </w:r>
    </w:p>
    <w:p w:rsidR="005E2DCC" w:rsidRPr="00AA6642" w:rsidRDefault="00443049" w:rsidP="00CF52D5">
      <w:pPr>
        <w:pStyle w:val="Heading1"/>
        <w:spacing w:before="0"/>
        <w:rPr>
          <w:lang w:val="lv-LV"/>
        </w:rPr>
      </w:pPr>
      <w:bookmarkStart w:id="15" w:name="_Toc443312605"/>
      <w:bookmarkStart w:id="16" w:name="_Toc444090576"/>
      <w:r w:rsidRPr="00AA6642">
        <w:rPr>
          <w:lang w:val="lv-LV"/>
        </w:rPr>
        <w:t>I</w:t>
      </w:r>
      <w:r w:rsidR="009112B8" w:rsidRPr="00AA6642">
        <w:rPr>
          <w:lang w:val="lv-LV"/>
        </w:rPr>
        <w:t>V</w:t>
      </w:r>
      <w:r w:rsidR="005E2DCC" w:rsidRPr="00AA6642">
        <w:rPr>
          <w:lang w:val="lv-LV"/>
        </w:rPr>
        <w:t>.1</w:t>
      </w:r>
      <w:r w:rsidR="009D2907" w:rsidRPr="00AA6642">
        <w:rPr>
          <w:lang w:val="lv-LV"/>
        </w:rPr>
        <w:t xml:space="preserve"> </w:t>
      </w:r>
      <w:bookmarkEnd w:id="15"/>
      <w:bookmarkEnd w:id="16"/>
      <w:r w:rsidR="000166B7" w:rsidRPr="00AA6642">
        <w:rPr>
          <w:lang w:val="lv-LV"/>
        </w:rPr>
        <w:t>Sadarbības loma pakalpojumu nodrošināšanā</w:t>
      </w:r>
    </w:p>
    <w:p w:rsidR="005E2DCC" w:rsidRPr="00AA6642" w:rsidRDefault="00443049" w:rsidP="009437F1">
      <w:pPr>
        <w:pStyle w:val="Heading2"/>
        <w:rPr>
          <w:lang w:val="lv-LV"/>
        </w:rPr>
      </w:pPr>
      <w:bookmarkStart w:id="17" w:name="_Toc443312606"/>
      <w:bookmarkStart w:id="18" w:name="_Toc444090577"/>
      <w:r w:rsidRPr="00AA6642">
        <w:rPr>
          <w:lang w:val="lv-LV"/>
        </w:rPr>
        <w:t>I</w:t>
      </w:r>
      <w:r w:rsidR="009112B8" w:rsidRPr="00AA6642">
        <w:rPr>
          <w:lang w:val="lv-LV"/>
        </w:rPr>
        <w:t>V</w:t>
      </w:r>
      <w:r w:rsidR="005E2DCC" w:rsidRPr="00AA6642">
        <w:rPr>
          <w:lang w:val="lv-LV"/>
        </w:rPr>
        <w:t xml:space="preserve">.1.1 </w:t>
      </w:r>
      <w:r w:rsidR="000166B7" w:rsidRPr="00AA6642">
        <w:rPr>
          <w:lang w:val="lv-LV"/>
        </w:rPr>
        <w:t>Sadarbības nepieciešamība</w:t>
      </w:r>
      <w:r w:rsidR="001D006B" w:rsidRPr="00AA6642">
        <w:rPr>
          <w:rStyle w:val="FootnoteReference"/>
          <w:rFonts w:asciiTheme="minorHAnsi" w:hAnsiTheme="minorHAnsi"/>
          <w:sz w:val="32"/>
          <w:lang w:val="lv-LV"/>
        </w:rPr>
        <w:footnoteReference w:id="1"/>
      </w:r>
      <w:bookmarkEnd w:id="17"/>
      <w:bookmarkEnd w:id="18"/>
    </w:p>
    <w:p w:rsidR="001D006B" w:rsidRPr="00AA6642" w:rsidRDefault="000166B7" w:rsidP="00CF52D5">
      <w:pPr>
        <w:spacing w:after="0"/>
        <w:rPr>
          <w:b/>
          <w:lang w:val="lv-LV"/>
        </w:rPr>
      </w:pPr>
      <w:r w:rsidRPr="00AA6642">
        <w:rPr>
          <w:b/>
          <w:lang w:val="lv-LV"/>
        </w:rPr>
        <w:t>Pakalpojumu un ieinteresēto pušu sadarbības modernizācija</w:t>
      </w:r>
    </w:p>
    <w:p w:rsidR="00987A64" w:rsidRPr="00AA6642" w:rsidRDefault="000166B7" w:rsidP="00936B86">
      <w:pPr>
        <w:rPr>
          <w:lang w:val="lv-LV"/>
        </w:rPr>
      </w:pPr>
      <w:r w:rsidRPr="00AA6642">
        <w:rPr>
          <w:lang w:val="lv-LV"/>
        </w:rPr>
        <w:t>Pakalpojumi mainās no institucionāliem pakalpojumiem uz sabiedrībā sniegtiem pakalpojumiem, no standartizētu pakalpojumu veidiem uz individuāliem un kopīgi veidotu (co-produced) pakalpojumu veidiem.</w:t>
      </w:r>
    </w:p>
    <w:p w:rsidR="005E2DCC" w:rsidRPr="00AA6642" w:rsidRDefault="001D006B" w:rsidP="00231332">
      <w:pPr>
        <w:rPr>
          <w:lang w:val="lv-LV"/>
        </w:rPr>
      </w:pPr>
      <w:r w:rsidRPr="00AA6642">
        <w:rPr>
          <w:lang w:val="lv-LV"/>
        </w:rPr>
        <w:t>“</w:t>
      </w:r>
      <w:r w:rsidR="00F84530" w:rsidRPr="00AA6642">
        <w:rPr>
          <w:lang w:val="lv-LV"/>
        </w:rPr>
        <w:t>I</w:t>
      </w:r>
      <w:r w:rsidR="000166B7" w:rsidRPr="00AA6642">
        <w:rPr>
          <w:lang w:val="lv-LV"/>
        </w:rPr>
        <w:t xml:space="preserve">nvaliditātes jomā, </w:t>
      </w:r>
      <w:r w:rsidR="00F84530" w:rsidRPr="00AA6642">
        <w:rPr>
          <w:lang w:val="lv-LV"/>
        </w:rPr>
        <w:t xml:space="preserve">par </w:t>
      </w:r>
      <w:r w:rsidR="000166B7" w:rsidRPr="00AA6642">
        <w:rPr>
          <w:lang w:val="lv-LV"/>
        </w:rPr>
        <w:t>kop</w:t>
      </w:r>
      <w:r w:rsidR="00F84530" w:rsidRPr="00AA6642">
        <w:rPr>
          <w:lang w:val="lv-LV"/>
        </w:rPr>
        <w:t xml:space="preserve">produktu tiek uzskatīta </w:t>
      </w:r>
      <w:r w:rsidR="000166B7" w:rsidRPr="00AA6642">
        <w:rPr>
          <w:lang w:val="lv-LV"/>
        </w:rPr>
        <w:t xml:space="preserve"> iekļaujoša darba prakse starp ekspertiem ar pie</w:t>
      </w:r>
      <w:r w:rsidR="00F84530" w:rsidRPr="00AA6642">
        <w:rPr>
          <w:lang w:val="lv-LV"/>
        </w:rPr>
        <w:t>redzi (lietotāju), kā atbalstam</w:t>
      </w:r>
      <w:r w:rsidR="00462BA8" w:rsidRPr="00AA6642">
        <w:rPr>
          <w:lang w:val="lv-LV"/>
        </w:rPr>
        <w:t xml:space="preserve"> esot organizācijām</w:t>
      </w:r>
      <w:r w:rsidR="000166B7" w:rsidRPr="00AA6642">
        <w:rPr>
          <w:lang w:val="lv-LV"/>
        </w:rPr>
        <w:t xml:space="preserve">, valsts iestādēm un, ja nepieciešams, </w:t>
      </w:r>
      <w:r w:rsidR="000166B7" w:rsidRPr="00AA6642">
        <w:rPr>
          <w:lang w:val="lv-LV"/>
        </w:rPr>
        <w:lastRenderedPageBreak/>
        <w:t>ģimenēm un citiem interesentiem.</w:t>
      </w:r>
      <w:r w:rsidRPr="00AA6642">
        <w:rPr>
          <w:lang w:val="lv-LV"/>
        </w:rPr>
        <w:t xml:space="preserve"> </w:t>
      </w:r>
      <w:r w:rsidR="00F84530" w:rsidRPr="00AA6642">
        <w:rPr>
          <w:lang w:val="lv-LV"/>
        </w:rPr>
        <w:t xml:space="preserve">Galīgais mērķis ir pakalpojumu sniegšana, politikas īstenošana vai darbības, kas reaģē uz lietotāja vajadzībām un vēlmēm saskaņā ar ANO Konvencijas par personu ar invaliditāti tiesībām principiem. Veidojot kopproduktu, visas ieinteresētās personas ir spēcīgas un spēcina citus, jo tās ir pastāvīgi iesaistītas pakalpojumu, politikas vai darbības plānošanā, attīstībā un sniegšanā. Kopprodukta veidošana ļauj </w:t>
      </w:r>
      <w:r w:rsidR="00231332" w:rsidRPr="00AA6642">
        <w:rPr>
          <w:lang w:val="lv-LV"/>
        </w:rPr>
        <w:t xml:space="preserve">pakalpojumu </w:t>
      </w:r>
      <w:r w:rsidR="00F84530" w:rsidRPr="00AA6642">
        <w:rPr>
          <w:lang w:val="lv-LV"/>
        </w:rPr>
        <w:t xml:space="preserve">lietotājiem kontrolēt savu dzīvi, vienlaikus </w:t>
      </w:r>
      <w:r w:rsidR="00231332" w:rsidRPr="00AA6642">
        <w:rPr>
          <w:lang w:val="lv-LV"/>
        </w:rPr>
        <w:t>uzņemoties atbildību</w:t>
      </w:r>
      <w:r w:rsidR="00F84530" w:rsidRPr="00AA6642">
        <w:rPr>
          <w:lang w:val="lv-LV"/>
        </w:rPr>
        <w:t xml:space="preserve"> un iz</w:t>
      </w:r>
      <w:r w:rsidR="00231332" w:rsidRPr="00AA6642">
        <w:rPr>
          <w:lang w:val="lv-LV"/>
        </w:rPr>
        <w:t>darot izvēli ar aktīvas un jēgpilnas partnerības palīdzību</w:t>
      </w:r>
      <w:r w:rsidR="00F84530" w:rsidRPr="00AA6642">
        <w:rPr>
          <w:lang w:val="lv-LV"/>
        </w:rPr>
        <w:t xml:space="preserve"> ".</w:t>
      </w:r>
    </w:p>
    <w:p w:rsidR="00231332" w:rsidRPr="00AA6642" w:rsidRDefault="00231332" w:rsidP="00936B86">
      <w:pPr>
        <w:spacing w:after="0"/>
        <w:rPr>
          <w:lang w:val="lv-LV"/>
        </w:rPr>
      </w:pPr>
      <w:r w:rsidRPr="00AA6642">
        <w:rPr>
          <w:lang w:val="lv-LV"/>
        </w:rPr>
        <w:t>EASPD piedāvā trīs galvenos elementus kopprodukta veidošanai invaliditātes jomā:</w:t>
      </w:r>
    </w:p>
    <w:p w:rsidR="001D006B" w:rsidRPr="00AA6642" w:rsidRDefault="00231332" w:rsidP="00984EDB">
      <w:pPr>
        <w:pStyle w:val="ListParagraph"/>
        <w:numPr>
          <w:ilvl w:val="0"/>
          <w:numId w:val="4"/>
        </w:numPr>
        <w:rPr>
          <w:lang w:val="lv-LV"/>
        </w:rPr>
      </w:pPr>
      <w:r w:rsidRPr="00AA6642">
        <w:rPr>
          <w:lang w:val="lv-LV"/>
        </w:rPr>
        <w:t xml:space="preserve">Kopprodukta veidošana popularizē ideju par varas un atbildības līdzsvara novirzīšanu no vienīgi profesionālajiem atbalsta pakalpojumiem un iestādēm. Tā arī nosaka, ka visas iesaistītās puses ir neatņemama politikas, pakalpojumu vai darbību daļa, kas attīstīta vienlīdzīgā partnerībā ar personām ar atbalsta vajadzībām, kā vadītājiem. </w:t>
      </w:r>
    </w:p>
    <w:p w:rsidR="001D006B" w:rsidRPr="00AA6642" w:rsidRDefault="007C653E" w:rsidP="00984EDB">
      <w:pPr>
        <w:pStyle w:val="ListParagraph"/>
        <w:numPr>
          <w:ilvl w:val="0"/>
          <w:numId w:val="4"/>
        </w:numPr>
        <w:rPr>
          <w:lang w:val="lv-LV"/>
        </w:rPr>
      </w:pPr>
      <w:r w:rsidRPr="00AA6642">
        <w:rPr>
          <w:lang w:val="lv-LV"/>
        </w:rPr>
        <w:t xml:space="preserve">Kopprodukta veidošana atzīst, ka katrs indivīds ar atbalsta vajadzībām būtu pilnībā, strukturāli, jēgpilni un pastāvīgi jāiesaista visos attiecīgo pakalpojumu, politikas vai darbību plānošanas, izveides un nodrošināšanas posmos. Tas prasa visām </w:t>
      </w:r>
      <w:r w:rsidR="00AA6642" w:rsidRPr="00AA6642">
        <w:rPr>
          <w:lang w:val="lv-LV"/>
        </w:rPr>
        <w:t>ieinteresētajām pusēm</w:t>
      </w:r>
      <w:r w:rsidRPr="00AA6642">
        <w:rPr>
          <w:lang w:val="lv-LV"/>
        </w:rPr>
        <w:t xml:space="preserve"> apzināties un atzīt personu ar atbalsta vajadzībām zināšanas, vēlmes, gribu un izvēli.</w:t>
      </w:r>
    </w:p>
    <w:p w:rsidR="001D006B" w:rsidRPr="00AA6642" w:rsidRDefault="007C653E" w:rsidP="00984EDB">
      <w:pPr>
        <w:pStyle w:val="ListParagraph"/>
        <w:numPr>
          <w:ilvl w:val="0"/>
          <w:numId w:val="4"/>
        </w:numPr>
        <w:rPr>
          <w:lang w:val="lv-LV"/>
        </w:rPr>
      </w:pPr>
      <w:r w:rsidRPr="00AA6642">
        <w:rPr>
          <w:lang w:val="lv-LV"/>
        </w:rPr>
        <w:t>Kopprodukta veidošana ir inovatīva darba prakse, kura nodrošināta, ka visas ieinteresētās puses aktīvi pārdomā un pārvērtē to, kā tās pašlaik darbojas.</w:t>
      </w:r>
      <w:r w:rsidR="001B7ABD" w:rsidRPr="00AA6642">
        <w:rPr>
          <w:lang w:val="lv-LV"/>
        </w:rPr>
        <w:t xml:space="preserve"> </w:t>
      </w:r>
      <w:r w:rsidRPr="00AA6642">
        <w:rPr>
          <w:lang w:val="lv-LV"/>
        </w:rPr>
        <w:t>Kop</w:t>
      </w:r>
      <w:r w:rsidR="001B7ABD" w:rsidRPr="00AA6642">
        <w:rPr>
          <w:lang w:val="lv-LV"/>
        </w:rPr>
        <w:t>īgam</w:t>
      </w:r>
      <w:r w:rsidRPr="00AA6642">
        <w:rPr>
          <w:lang w:val="lv-LV"/>
        </w:rPr>
        <w:t xml:space="preserve"> dialog</w:t>
      </w:r>
      <w:r w:rsidR="001B7ABD" w:rsidRPr="00AA6642">
        <w:rPr>
          <w:lang w:val="lv-LV"/>
        </w:rPr>
        <w:t>am</w:t>
      </w:r>
      <w:r w:rsidRPr="00AA6642">
        <w:rPr>
          <w:lang w:val="lv-LV"/>
        </w:rPr>
        <w:t>, rezultāti</w:t>
      </w:r>
      <w:r w:rsidR="001B7ABD" w:rsidRPr="00AA6642">
        <w:rPr>
          <w:lang w:val="lv-LV"/>
        </w:rPr>
        <w:t>em</w:t>
      </w:r>
      <w:r w:rsidRPr="00AA6642">
        <w:rPr>
          <w:lang w:val="lv-LV"/>
        </w:rPr>
        <w:t xml:space="preserve">, par kuriem puses ir </w:t>
      </w:r>
      <w:r w:rsidR="001B7ABD" w:rsidRPr="00AA6642">
        <w:rPr>
          <w:lang w:val="lv-LV"/>
        </w:rPr>
        <w:t>kopīgi vienojušā</w:t>
      </w:r>
      <w:r w:rsidRPr="00AA6642">
        <w:rPr>
          <w:lang w:val="lv-LV"/>
        </w:rPr>
        <w:t>s, pilnībā iekļaujoša</w:t>
      </w:r>
      <w:r w:rsidR="001B7ABD" w:rsidRPr="00AA6642">
        <w:rPr>
          <w:lang w:val="lv-LV"/>
        </w:rPr>
        <w:t>i</w:t>
      </w:r>
      <w:r w:rsidRPr="00AA6642">
        <w:rPr>
          <w:lang w:val="lv-LV"/>
        </w:rPr>
        <w:t xml:space="preserve"> vide</w:t>
      </w:r>
      <w:r w:rsidR="001B7ABD" w:rsidRPr="00AA6642">
        <w:rPr>
          <w:lang w:val="lv-LV"/>
        </w:rPr>
        <w:t>i</w:t>
      </w:r>
      <w:r w:rsidRPr="00AA6642">
        <w:rPr>
          <w:lang w:val="lv-LV"/>
        </w:rPr>
        <w:t xml:space="preserve"> un </w:t>
      </w:r>
      <w:r w:rsidR="00080BD6" w:rsidRPr="00AA6642">
        <w:rPr>
          <w:lang w:val="lv-LV"/>
        </w:rPr>
        <w:t xml:space="preserve"> </w:t>
      </w:r>
      <w:r w:rsidRPr="00AA6642">
        <w:rPr>
          <w:lang w:val="lv-LV"/>
        </w:rPr>
        <w:t>saprātīgi</w:t>
      </w:r>
      <w:r w:rsidR="001B7ABD" w:rsidRPr="00AA6642">
        <w:rPr>
          <w:lang w:val="lv-LV"/>
        </w:rPr>
        <w:t xml:space="preserve">em pielāgojumiem </w:t>
      </w:r>
      <w:r w:rsidRPr="00AA6642">
        <w:rPr>
          <w:lang w:val="lv-LV"/>
        </w:rPr>
        <w:t xml:space="preserve">ir jākļūst par būtisku </w:t>
      </w:r>
      <w:r w:rsidR="001B7ABD" w:rsidRPr="00AA6642">
        <w:rPr>
          <w:lang w:val="lv-LV"/>
        </w:rPr>
        <w:t>darba struktūras daļu</w:t>
      </w:r>
      <w:r w:rsidRPr="00AA6642">
        <w:rPr>
          <w:lang w:val="lv-LV"/>
        </w:rPr>
        <w:t>.</w:t>
      </w:r>
    </w:p>
    <w:p w:rsidR="001B7ABD" w:rsidRPr="00AA6642" w:rsidRDefault="001B7ABD" w:rsidP="00CF52D5">
      <w:pPr>
        <w:rPr>
          <w:lang w:val="lv-LV"/>
        </w:rPr>
      </w:pPr>
      <w:r w:rsidRPr="00AA6642">
        <w:rPr>
          <w:lang w:val="lv-LV"/>
        </w:rPr>
        <w:t>Lai modernizētu pakalpojumus un tiesisko regulējumu, ir nepieciešams attīstīt kopprodukta veidošanu, pastiprinot sadarbību starp visām iesaistītajām pusēm.</w:t>
      </w:r>
    </w:p>
    <w:p w:rsidR="001D006B" w:rsidRPr="00AA6642" w:rsidRDefault="001B7ABD" w:rsidP="00CA1FFF">
      <w:pPr>
        <w:spacing w:after="0"/>
        <w:rPr>
          <w:b/>
          <w:lang w:val="lv-LV"/>
        </w:rPr>
      </w:pPr>
      <w:r w:rsidRPr="00AA6642">
        <w:rPr>
          <w:b/>
          <w:lang w:val="lv-LV"/>
        </w:rPr>
        <w:t>Pilsoniskās sabiedrības dalībnieku loma politikas veidošanā</w:t>
      </w:r>
    </w:p>
    <w:p w:rsidR="001B7ABD" w:rsidRPr="00AA6642" w:rsidRDefault="001B7ABD" w:rsidP="009437F1">
      <w:pPr>
        <w:rPr>
          <w:b/>
          <w:lang w:val="lv-LV"/>
        </w:rPr>
      </w:pPr>
      <w:r w:rsidRPr="00AA6642">
        <w:rPr>
          <w:lang w:val="lv-LV"/>
        </w:rPr>
        <w:t>ES un tās dalībvalstīm būtu jāņem vērā pilsoniskās sabiedrības organizāciju izšķirošā</w:t>
      </w:r>
      <w:r w:rsidR="00E45DEF" w:rsidRPr="00AA6642">
        <w:rPr>
          <w:lang w:val="lv-LV"/>
        </w:rPr>
        <w:t xml:space="preserve"> nozīme, lai sabiedrība būtu moderna un demokrātiska.</w:t>
      </w:r>
      <w:r w:rsidRPr="00AA6642">
        <w:rPr>
          <w:lang w:val="lv-LV"/>
        </w:rPr>
        <w:t xml:space="preserve"> Lai tas notiktu, sociāla</w:t>
      </w:r>
      <w:r w:rsidR="00E45DEF" w:rsidRPr="00AA6642">
        <w:rPr>
          <w:lang w:val="lv-LV"/>
        </w:rPr>
        <w:t>jam sektoram</w:t>
      </w:r>
      <w:r w:rsidRPr="00AA6642">
        <w:rPr>
          <w:lang w:val="lv-LV"/>
        </w:rPr>
        <w:t xml:space="preserve"> kopumā ir </w:t>
      </w:r>
      <w:r w:rsidR="00E45DEF" w:rsidRPr="00AA6642">
        <w:rPr>
          <w:lang w:val="lv-LV"/>
        </w:rPr>
        <w:t>jāorganizē</w:t>
      </w:r>
      <w:r w:rsidRPr="00AA6642">
        <w:rPr>
          <w:lang w:val="lv-LV"/>
        </w:rPr>
        <w:t xml:space="preserve"> sevi, lai varētu uzņemties aktīvu lomu politikas veidošanā un lēmumu pieņemšanā. "</w:t>
      </w:r>
      <w:r w:rsidR="00E45DEF" w:rsidRPr="00AA6642">
        <w:rPr>
          <w:lang w:val="lv-LV"/>
        </w:rPr>
        <w:t>Politika būs veiksmīgāka, ja tā būs</w:t>
      </w:r>
      <w:r w:rsidRPr="00AA6642">
        <w:rPr>
          <w:lang w:val="lv-LV"/>
        </w:rPr>
        <w:t xml:space="preserve"> balstītas uz vienprātību, un </w:t>
      </w:r>
      <w:r w:rsidR="00E45DEF" w:rsidRPr="00AA6642">
        <w:rPr>
          <w:lang w:val="lv-LV"/>
        </w:rPr>
        <w:t xml:space="preserve">darbosies </w:t>
      </w:r>
      <w:r w:rsidRPr="00AA6642">
        <w:rPr>
          <w:lang w:val="lv-LV"/>
        </w:rPr>
        <w:t xml:space="preserve">vispārējās interesēs. Tas palīdz </w:t>
      </w:r>
      <w:r w:rsidR="00E45DEF" w:rsidRPr="00AA6642">
        <w:rPr>
          <w:lang w:val="lv-LV"/>
        </w:rPr>
        <w:t>plašākai sabiedrībai</w:t>
      </w:r>
      <w:r w:rsidRPr="00AA6642">
        <w:rPr>
          <w:lang w:val="lv-LV"/>
        </w:rPr>
        <w:t xml:space="preserve"> </w:t>
      </w:r>
      <w:r w:rsidR="00E45DEF" w:rsidRPr="00AA6642">
        <w:rPr>
          <w:lang w:val="lv-LV"/>
        </w:rPr>
        <w:t xml:space="preserve">izprast lēmumu pieņemšanu </w:t>
      </w:r>
      <w:r w:rsidRPr="00AA6642">
        <w:rPr>
          <w:lang w:val="lv-LV"/>
        </w:rPr>
        <w:t>un iesaistīties</w:t>
      </w:r>
      <w:r w:rsidR="00E45DEF" w:rsidRPr="00AA6642">
        <w:rPr>
          <w:lang w:val="lv-LV"/>
        </w:rPr>
        <w:t xml:space="preserve"> tajā</w:t>
      </w:r>
      <w:r w:rsidRPr="00AA6642">
        <w:rPr>
          <w:lang w:val="lv-LV"/>
        </w:rPr>
        <w:t>, un tād</w:t>
      </w:r>
      <w:r w:rsidR="00E45DEF" w:rsidRPr="00AA6642">
        <w:rPr>
          <w:lang w:val="lv-LV"/>
        </w:rPr>
        <w:t>ējādi efektīvāk to</w:t>
      </w:r>
      <w:r w:rsidRPr="00AA6642">
        <w:rPr>
          <w:lang w:val="lv-LV"/>
        </w:rPr>
        <w:t xml:space="preserve"> īstenot. "</w:t>
      </w:r>
    </w:p>
    <w:p w:rsidR="00AD4EB1" w:rsidRPr="00AA6642" w:rsidRDefault="004450A6" w:rsidP="00CF52D5">
      <w:pPr>
        <w:spacing w:after="0"/>
        <w:rPr>
          <w:b/>
          <w:lang w:val="lv-LV"/>
        </w:rPr>
      </w:pPr>
      <w:r w:rsidRPr="00AA6642">
        <w:rPr>
          <w:b/>
          <w:lang w:val="lv-LV"/>
        </w:rPr>
        <w:t>Sociāli</w:t>
      </w:r>
      <w:r w:rsidR="00E45DEF" w:rsidRPr="00AA6642">
        <w:rPr>
          <w:b/>
          <w:lang w:val="lv-LV"/>
        </w:rPr>
        <w:t>-politiskais</w:t>
      </w:r>
      <w:r w:rsidR="001D006B" w:rsidRPr="00AA6642">
        <w:rPr>
          <w:b/>
          <w:lang w:val="lv-LV"/>
        </w:rPr>
        <w:t xml:space="preserve"> </w:t>
      </w:r>
      <w:r w:rsidR="00E45DEF" w:rsidRPr="00AA6642">
        <w:rPr>
          <w:b/>
          <w:lang w:val="lv-LV"/>
        </w:rPr>
        <w:t>konteksts</w:t>
      </w:r>
    </w:p>
    <w:p w:rsidR="00E45DEF" w:rsidRPr="00AA6642" w:rsidRDefault="00E45DEF" w:rsidP="00515CC0">
      <w:pPr>
        <w:rPr>
          <w:lang w:val="lv-LV"/>
        </w:rPr>
      </w:pPr>
      <w:r w:rsidRPr="00AA6642">
        <w:rPr>
          <w:lang w:val="lv-LV"/>
        </w:rPr>
        <w:t xml:space="preserve">Veids kā sociālo pakalpojumu sniedzēji sadarbojas, sadarbības saturs un forma ir lielā mērā atkarīgi no uz sociāli-politiskā ietvara, kurā tie darbojas. Tomēr viena kopīga sociālo </w:t>
      </w:r>
      <w:r w:rsidRPr="00AA6642">
        <w:rPr>
          <w:lang w:val="lv-LV"/>
        </w:rPr>
        <w:lastRenderedPageBreak/>
        <w:t>pakalpojumu organizatoriskā shēma ir tā sauktais trijstūris starp valsti, klientu un pakalpojumu sniedzēju.</w:t>
      </w:r>
    </w:p>
    <w:p w:rsidR="00515CC0" w:rsidRPr="00AA6642" w:rsidRDefault="00E814F8" w:rsidP="00515CC0">
      <w:pPr>
        <w:rPr>
          <w:lang w:val="lv-LV"/>
        </w:rPr>
      </w:pPr>
      <w:r>
        <w:rPr>
          <w:rFonts w:ascii="Cambria" w:hAnsi="Cambria"/>
          <w:b/>
          <w:bCs/>
          <w:i/>
          <w:noProof/>
          <w:color w:val="006600"/>
          <w:lang w:val="lv-LV" w:eastAsia="lv-LV"/>
        </w:rPr>
        <mc:AlternateContent>
          <mc:Choice Requires="wpc">
            <w:drawing>
              <wp:inline distT="0" distB="0" distL="0" distR="0">
                <wp:extent cx="3369310" cy="1518920"/>
                <wp:effectExtent l="0" t="0" r="2540" b="0"/>
                <wp:docPr id="14" name="Zeichenbereich 690" descr="Title: Graph of the triangle between state, client and service provider - Description: Graph in the form of a pyramid/triangle. On the top of the triangle is the State. In the down left corner are the users, in the down right corner are the providers. The three blocks: state, users, providers are connected with double arrows showing the the follwoing interactions:&#10;State to Users and users to State&#10;State to Providers and Providers to State&#10;Users to Providers and Providers to Users&#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35"/>
                        <wps:cNvSpPr>
                          <a:spLocks noChangeArrowheads="1"/>
                        </wps:cNvSpPr>
                        <wps:spPr bwMode="auto">
                          <a:xfrm>
                            <a:off x="0" y="1105415"/>
                            <a:ext cx="971603" cy="352005"/>
                          </a:xfrm>
                          <a:prstGeom prst="rect">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D6AE6" w:rsidRPr="00DD33D9" w:rsidRDefault="00DD33D9" w:rsidP="00515CC0">
                              <w:pPr>
                                <w:spacing w:after="0" w:line="240" w:lineRule="auto"/>
                                <w:jc w:val="center"/>
                                <w:rPr>
                                  <w:b/>
                                  <w:color w:val="FFFFFF" w:themeColor="background1"/>
                                  <w:sz w:val="28"/>
                                  <w:lang w:val="lv-LV"/>
                                </w:rPr>
                              </w:pPr>
                              <w:r>
                                <w:rPr>
                                  <w:b/>
                                  <w:color w:val="FFFFFF" w:themeColor="background1"/>
                                  <w:sz w:val="28"/>
                                  <w:lang w:val="lv-LV"/>
                                </w:rPr>
                                <w:t>LIETOTĀJS</w:t>
                              </w:r>
                            </w:p>
                          </w:txbxContent>
                        </wps:txbx>
                        <wps:bodyPr rot="0" vert="horz" wrap="square" lIns="91440" tIns="45720" rIns="91440" bIns="45720" anchor="ctr" anchorCtr="0" upright="1">
                          <a:noAutofit/>
                        </wps:bodyPr>
                      </wps:wsp>
                      <wps:wsp>
                        <wps:cNvPr id="3" name="Rectangle 36"/>
                        <wps:cNvSpPr>
                          <a:spLocks noChangeArrowheads="1"/>
                        </wps:cNvSpPr>
                        <wps:spPr bwMode="auto">
                          <a:xfrm>
                            <a:off x="2389807" y="1104515"/>
                            <a:ext cx="972503" cy="352905"/>
                          </a:xfrm>
                          <a:prstGeom prst="rect">
                            <a:avLst/>
                          </a:prstGeom>
                          <a:gradFill rotWithShape="1">
                            <a:gsLst>
                              <a:gs pos="0">
                                <a:srgbClr val="769535"/>
                              </a:gs>
                              <a:gs pos="80000">
                                <a:srgbClr val="9BC348"/>
                              </a:gs>
                              <a:gs pos="100000">
                                <a:srgbClr val="9CC74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D6AE6" w:rsidRPr="00CF52D5" w:rsidRDefault="00DD33D9" w:rsidP="00515CC0">
                              <w:pPr>
                                <w:spacing w:after="0" w:line="240" w:lineRule="auto"/>
                                <w:jc w:val="center"/>
                                <w:rPr>
                                  <w:b/>
                                </w:rPr>
                              </w:pPr>
                              <w:r>
                                <w:rPr>
                                  <w:b/>
                                  <w:color w:val="FFFFFF" w:themeColor="background1"/>
                                  <w:sz w:val="28"/>
                                </w:rPr>
                                <w:t>SNIEDZĒJS</w:t>
                              </w:r>
                              <w:r w:rsidR="001D6AE6" w:rsidRPr="00CF52D5">
                                <w:rPr>
                                  <w:b/>
                                  <w:color w:val="FFFFFF" w:themeColor="background1"/>
                                  <w:sz w:val="28"/>
                                </w:rPr>
                                <w:t>DER</w:t>
                              </w:r>
                            </w:p>
                          </w:txbxContent>
                        </wps:txbx>
                        <wps:bodyPr rot="0" vert="horz" wrap="square" lIns="91440" tIns="45720" rIns="91440" bIns="45720" anchor="ctr" anchorCtr="0" upright="1">
                          <a:noAutofit/>
                        </wps:bodyPr>
                      </wps:wsp>
                      <wps:wsp>
                        <wps:cNvPr id="5" name="Rectangle 37"/>
                        <wps:cNvSpPr>
                          <a:spLocks noChangeArrowheads="1"/>
                        </wps:cNvSpPr>
                        <wps:spPr bwMode="auto">
                          <a:xfrm>
                            <a:off x="1190604" y="86901"/>
                            <a:ext cx="971603" cy="352005"/>
                          </a:xfrm>
                          <a:prstGeom prst="rect">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D6AE6" w:rsidRPr="00DD33D9" w:rsidRDefault="00DD33D9" w:rsidP="00515CC0">
                              <w:pPr>
                                <w:spacing w:after="0" w:line="240" w:lineRule="auto"/>
                                <w:jc w:val="center"/>
                                <w:rPr>
                                  <w:b/>
                                  <w:sz w:val="28"/>
                                  <w:lang w:val="lv-LV"/>
                                </w:rPr>
                              </w:pPr>
                              <w:r>
                                <w:rPr>
                                  <w:b/>
                                  <w:color w:val="FFFFFF" w:themeColor="background1"/>
                                  <w:sz w:val="28"/>
                                  <w:lang w:val="lv-LV"/>
                                </w:rPr>
                                <w:t>VALSTS</w:t>
                              </w:r>
                            </w:p>
                          </w:txbxContent>
                        </wps:txbx>
                        <wps:bodyPr rot="0" vert="horz" wrap="square" lIns="91440" tIns="45720" rIns="91440" bIns="45720" anchor="ctr" anchorCtr="0" upright="1">
                          <a:noAutofit/>
                        </wps:bodyPr>
                      </wps:wsp>
                      <wps:wsp>
                        <wps:cNvPr id="7" name="AutoShape 38"/>
                        <wps:cNvCnPr>
                          <a:cxnSpLocks noChangeShapeType="1"/>
                        </wps:cNvCnPr>
                        <wps:spPr bwMode="auto">
                          <a:xfrm flipV="1">
                            <a:off x="971603" y="1281017"/>
                            <a:ext cx="1418204" cy="800"/>
                          </a:xfrm>
                          <a:prstGeom prst="straightConnector1">
                            <a:avLst/>
                          </a:prstGeom>
                          <a:noFill/>
                          <a:ln w="12700">
                            <a:solidFill>
                              <a:schemeClr val="accent1">
                                <a:lumMod val="100000"/>
                                <a:lumOff val="0"/>
                              </a:schemeClr>
                            </a:solidFill>
                            <a:round/>
                            <a:headEnd type="triangle" w="med" len="me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8" name="AutoShape 39"/>
                        <wps:cNvCnPr>
                          <a:cxnSpLocks noChangeShapeType="1"/>
                        </wps:cNvCnPr>
                        <wps:spPr bwMode="auto">
                          <a:xfrm flipV="1">
                            <a:off x="505402" y="438906"/>
                            <a:ext cx="1171003" cy="666509"/>
                          </a:xfrm>
                          <a:prstGeom prst="straightConnector1">
                            <a:avLst/>
                          </a:prstGeom>
                          <a:noFill/>
                          <a:ln w="12700">
                            <a:solidFill>
                              <a:schemeClr val="accent1">
                                <a:lumMod val="100000"/>
                                <a:lumOff val="0"/>
                              </a:schemeClr>
                            </a:solidFill>
                            <a:round/>
                            <a:headEnd type="triangle" w="med" len="me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 name="AutoShape 40"/>
                        <wps:cNvCnPr>
                          <a:cxnSpLocks noChangeShapeType="1"/>
                        </wps:cNvCnPr>
                        <wps:spPr bwMode="auto">
                          <a:xfrm flipH="1" flipV="1">
                            <a:off x="1676405" y="438906"/>
                            <a:ext cx="1200104" cy="665609"/>
                          </a:xfrm>
                          <a:prstGeom prst="straightConnector1">
                            <a:avLst/>
                          </a:prstGeom>
                          <a:noFill/>
                          <a:ln w="12700">
                            <a:solidFill>
                              <a:schemeClr val="accent1">
                                <a:lumMod val="100000"/>
                                <a:lumOff val="0"/>
                              </a:schemeClr>
                            </a:solidFill>
                            <a:round/>
                            <a:headEnd type="triangle" w="med" len="me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c:wpc>
                  </a:graphicData>
                </a:graphic>
              </wp:inline>
            </w:drawing>
          </mc:Choice>
          <mc:Fallback>
            <w:pict>
              <v:group id="Zeichenbereich 690" o:spid="_x0000_s1026" editas="canvas" alt="Description: Title: Graph of the triangle between state, client and service provider - Description: Graph in the form of a pyramid/triangle. On the top of the triangle is the State. In the down left corner are the users, in the down right corner are the providers. The three blocks: state, users, providers are connected with double arrows showing the the follwoing interactions:&#10;State to Users and users to State&#10;State to Providers and Providers to State&#10;Users to Providers and Providers to Users&#10;" style="width:265.3pt;height:119.6pt;mso-position-horizontal-relative:char;mso-position-vertical-relative:line" coordsize="33693,15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itle: Graph of the triangle between state, client and service provider - Description: Graph in the form of a pyramid/triangle. On the top of the triangle is the State. In the down left corner are the users, in the down right corner are the providers. The three blocks: state, users, providers are connected with double arrows showing the the follwoing interactions:&#10;State to Users and users to State&#10;State to Providers and Providers to State&#10;Users to Providers and Providers to Users&#10;" style="position:absolute;width:33693;height:15189;visibility:visible;mso-wrap-style:square">
                  <v:fill o:detectmouseclick="t"/>
                  <v:path o:connecttype="none"/>
                </v:shape>
                <v:rect id="Rectangle 35" o:spid="_x0000_s1028" style="position:absolute;top:11054;width:9716;height:3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OssIA&#10;AADaAAAADwAAAGRycy9kb3ducmV2LnhtbESPQYvCMBSE7wv+h/AEL4um60GkGkUFYRH2sFZ6fjTP&#10;tti8lCSt1V+/WRA8DjPzDbPeDqYRPTlfW1bwNUtAEBdW11wquGTH6RKED8gaG8uk4EEetpvRxxpT&#10;be/8S/05lCJC2KeooAqhTaX0RUUG/cy2xNG7WmcwROlKqR3eI9w0cp4kC2mw5rhQYUuHiorbuTMK&#10;Pp+uO+Wn509OmcybLKNdsu+UmoyH3QpEoCG8w6/2t1Ywh/8r8Qb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k6ywgAAANoAAAAPAAAAAAAAAAAAAAAAAJgCAABkcnMvZG93&#10;bnJldi54bWxQSwUGAAAAAAQABAD1AAAAhwMAAAAA&#10;" fillcolor="#2c5d98" stroked="f">
                  <v:fill color2="#3a7ccb" rotate="t" angle="180" colors="0 #2c5d98;52429f #3c7bc7;1 #3a7ccb" focus="100%" type="gradient">
                    <o:fill v:ext="view" type="gradientUnscaled"/>
                  </v:fill>
                  <v:shadow on="t" color="black" opacity="22936f" origin=",.5" offset="0,.63889mm"/>
                  <v:textbox>
                    <w:txbxContent>
                      <w:p w:rsidR="001D6AE6" w:rsidRPr="00DD33D9" w:rsidRDefault="00DD33D9" w:rsidP="00515CC0">
                        <w:pPr>
                          <w:spacing w:after="0" w:line="240" w:lineRule="auto"/>
                          <w:jc w:val="center"/>
                          <w:rPr>
                            <w:b/>
                            <w:color w:val="FFFFFF" w:themeColor="background1"/>
                            <w:sz w:val="28"/>
                            <w:lang w:val="lv-LV"/>
                          </w:rPr>
                        </w:pPr>
                        <w:r>
                          <w:rPr>
                            <w:b/>
                            <w:color w:val="FFFFFF" w:themeColor="background1"/>
                            <w:sz w:val="28"/>
                            <w:lang w:val="lv-LV"/>
                          </w:rPr>
                          <w:t>LIETOTĀJS</w:t>
                        </w:r>
                      </w:p>
                    </w:txbxContent>
                  </v:textbox>
                </v:rect>
                <v:rect id="Rectangle 36" o:spid="_x0000_s1029" style="position:absolute;left:23898;top:11045;width:9725;height:35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emIsMA&#10;AADaAAAADwAAAGRycy9kb3ducmV2LnhtbESPT2vCQBTE7wW/w/IEb3VjhSrRVbSi6KH+1/Mj+0yC&#10;2bchu9XYT98tCB6HmfkNMxzXphA3qlxuWUGnHYEgTqzOOVVwPMzf+yCcR9ZYWCYFD3IwHjXehhhr&#10;e+cd3fY+FQHCLkYFmfdlLKVLMjLo2rYkDt7FVgZ9kFUqdYX3ADeF/IiiT2kw57CQYUlfGSXX/Y9R&#10;cJadU2+1/P5d2cXDm+10JtebmVKtZj0ZgPBU+1f42V5qBV34vxJugB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emIsMAAADaAAAADwAAAAAAAAAAAAAAAACYAgAAZHJzL2Rv&#10;d25yZXYueG1sUEsFBgAAAAAEAAQA9QAAAIgDAAAAAA==&#10;" fillcolor="#769535" stroked="f">
                  <v:fill color2="#9cc746" rotate="t" angle="180" colors="0 #769535;52429f #9bc348;1 #9cc746" focus="100%" type="gradient">
                    <o:fill v:ext="view" type="gradientUnscaled"/>
                  </v:fill>
                  <v:shadow on="t" color="black" opacity="22936f" origin=",.5" offset="0,.63889mm"/>
                  <v:textbox>
                    <w:txbxContent>
                      <w:p w:rsidR="001D6AE6" w:rsidRPr="00CF52D5" w:rsidRDefault="00DD33D9" w:rsidP="00515CC0">
                        <w:pPr>
                          <w:spacing w:after="0" w:line="240" w:lineRule="auto"/>
                          <w:jc w:val="center"/>
                          <w:rPr>
                            <w:b/>
                          </w:rPr>
                        </w:pPr>
                        <w:r>
                          <w:rPr>
                            <w:b/>
                            <w:color w:val="FFFFFF" w:themeColor="background1"/>
                            <w:sz w:val="28"/>
                          </w:rPr>
                          <w:t>SNIEDZĒJS</w:t>
                        </w:r>
                        <w:r w:rsidR="001D6AE6" w:rsidRPr="00CF52D5">
                          <w:rPr>
                            <w:b/>
                            <w:color w:val="FFFFFF" w:themeColor="background1"/>
                            <w:sz w:val="28"/>
                          </w:rPr>
                          <w:t>DER</w:t>
                        </w:r>
                      </w:p>
                    </w:txbxContent>
                  </v:textbox>
                </v:rect>
                <v:rect id="Rectangle 37" o:spid="_x0000_s1030" style="position:absolute;left:11906;top:869;width:9716;height:3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fQMMA&#10;AADaAAAADwAAAGRycy9kb3ducmV2LnhtbESPQWvCQBSE74L/YXlCb7pRqkjqKlUQLAhqWmiPj+xr&#10;Epp9G3bXJP33riB4HGbmG2a16U0tWnK+sqxgOklAEOdWV1wo+Prcj5cgfEDWWFsmBf/kYbMeDlaY&#10;atvxhdosFCJC2KeooAyhSaX0eUkG/cQ2xNH7tc5giNIVUjvsItzUcpYkC2mw4rhQYkO7kvK/7GoU&#10;JB9t7k7t6257XHyfuxOfu59QKPUy6t/fQATqwzP8aB+0gjncr8Qb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fQMMAAADaAAAADwAAAAAAAAAAAAAAAACYAgAAZHJzL2Rv&#10;d25yZXYueG1sUEsFBgAAAAAEAAQA9QAAAIgDAAAAAA==&#10;" fillcolor="#cb6c1d" stroked="f">
                  <v:fill color2="#ff8f26" rotate="t" angle="180" colors="0 #cb6c1d;52429f #ff8f2a;1 #ff8f26" focus="100%" type="gradient">
                    <o:fill v:ext="view" type="gradientUnscaled"/>
                  </v:fill>
                  <v:shadow on="t" color="black" opacity="22936f" origin=",.5" offset="0,.63889mm"/>
                  <v:textbox>
                    <w:txbxContent>
                      <w:p w:rsidR="001D6AE6" w:rsidRPr="00DD33D9" w:rsidRDefault="00DD33D9" w:rsidP="00515CC0">
                        <w:pPr>
                          <w:spacing w:after="0" w:line="240" w:lineRule="auto"/>
                          <w:jc w:val="center"/>
                          <w:rPr>
                            <w:b/>
                            <w:sz w:val="28"/>
                            <w:lang w:val="lv-LV"/>
                          </w:rPr>
                        </w:pPr>
                        <w:r>
                          <w:rPr>
                            <w:b/>
                            <w:color w:val="FFFFFF" w:themeColor="background1"/>
                            <w:sz w:val="28"/>
                            <w:lang w:val="lv-LV"/>
                          </w:rPr>
                          <w:t>VALSTS</w:t>
                        </w:r>
                      </w:p>
                    </w:txbxContent>
                  </v:textbox>
                </v:rect>
                <v:shapetype id="_x0000_t32" coordsize="21600,21600" o:spt="32" o:oned="t" path="m,l21600,21600e" filled="f">
                  <v:path arrowok="t" fillok="f" o:connecttype="none"/>
                  <o:lock v:ext="edit" shapetype="t"/>
                </v:shapetype>
                <v:shape id="AutoShape 38" o:spid="_x0000_s1031" type="#_x0000_t32" style="position:absolute;left:9716;top:12810;width:14182;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x4ncMAAADaAAAADwAAAGRycy9kb3ducmV2LnhtbESPQWvCQBSE70L/w/IK3nTTgE1JXUMV&#10;BemtqYUeX7PPJJh9G7KrWfvruwXB4zAz3zDLIphOXGhwrWUFT/MEBHFldcu1gsPnbvYCwnlkjZ1l&#10;UnAlB8XqYbLEXNuRP+hS+lpECLscFTTe97mUrmrIoJvbnjh6RzsY9FEOtdQDjhFuOpkmybM02HJc&#10;aLCnTUPVqTwbBSFsj99pm72PeP7VXz+LQ73uTkpNH8PbKwhPwd/Dt/ZeK8jg/0q8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8eJ3DAAAA2gAAAA8AAAAAAAAAAAAA&#10;AAAAoQIAAGRycy9kb3ducmV2LnhtbFBLBQYAAAAABAAEAPkAAACRAwAAAAA=&#10;" strokecolor="#4f81bd [3204]" strokeweight="1pt">
                  <v:stroke startarrow="block" endarrow="block"/>
                  <v:shadow on="t" color="black" opacity="24903f" origin=",.5" offset="0,.55556mm"/>
                </v:shape>
                <v:shape id="AutoShape 39" o:spid="_x0000_s1032" type="#_x0000_t32" style="position:absolute;left:5054;top:4389;width:11710;height:66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Ps778AAADaAAAADwAAAGRycy9kb3ducmV2LnhtbERPTYvCMBC9C/6HMII3TRVcl2oUlV0Q&#10;b+tW8Dg2Y1tsJqWJNvrrN4cFj4/3vVwHU4sHta6yrGAyTkAQ51ZXXCjIfr9HnyCcR9ZYWyYFT3Kw&#10;XvV7S0y17fiHHkdfiBjCLkUFpfdNKqXLSzLoxrYhjtzVtgZ9hG0hdYtdDDe1nCbJhzRYcWwosaFd&#10;SfnteDcKQvi6nqfV/NDh/aVPl1lWbOubUsNB2CxAeAr+Lf5377WCuDVeiTdArv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yPs778AAADaAAAADwAAAAAAAAAAAAAAAACh&#10;AgAAZHJzL2Rvd25yZXYueG1sUEsFBgAAAAAEAAQA+QAAAI0DAAAAAA==&#10;" strokecolor="#4f81bd [3204]" strokeweight="1pt">
                  <v:stroke startarrow="block" endarrow="block"/>
                  <v:shadow on="t" color="black" opacity="24903f" origin=",.5" offset="0,.55556mm"/>
                </v:shape>
                <v:shape id="AutoShape 40" o:spid="_x0000_s1033" type="#_x0000_t32" style="position:absolute;left:16764;top:4389;width:12001;height:66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I/pL8AAADaAAAADwAAAGRycy9kb3ducmV2LnhtbESPwYrCQBBE78L+w9AL3nSyGxHNOoos&#10;CF6N+YAm0ybBTE/ItCbu1+8Igseiql5Rm93oWnWnPjSeDXzNE1DEpbcNVwaK82G2AhUE2WLrmQw8&#10;KMBu+zHZYGb9wCe651KpCOGQoYFapMu0DmVNDsPcd8TRu/jeoUTZV9r2OES4a/V3kiy1w4bjQo0d&#10;/dZUXvObM9DkVZvyVZbp38oWaRFkWDgxZvo57n9ACY3yDr/aR2tgDc8r8Qbo7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II/pL8AAADaAAAADwAAAAAAAAAAAAAAAACh&#10;AgAAZHJzL2Rvd25yZXYueG1sUEsFBgAAAAAEAAQA+QAAAI0DAAAAAA==&#10;" strokecolor="#4f81bd [3204]" strokeweight="1pt">
                  <v:stroke startarrow="block" endarrow="block"/>
                  <v:shadow on="t" color="black" opacity="24903f" origin=",.5" offset="0,.55556mm"/>
                </v:shape>
                <w10:anchorlock/>
              </v:group>
            </w:pict>
          </mc:Fallback>
        </mc:AlternateContent>
      </w:r>
    </w:p>
    <w:p w:rsidR="00405F70" w:rsidRPr="00AA6642" w:rsidRDefault="00E45DEF" w:rsidP="00515CC0">
      <w:pPr>
        <w:pStyle w:val="ListParagraph"/>
        <w:numPr>
          <w:ilvl w:val="0"/>
          <w:numId w:val="31"/>
        </w:numPr>
        <w:rPr>
          <w:lang w:val="lv-LV"/>
        </w:rPr>
      </w:pPr>
      <w:r w:rsidRPr="00AA6642">
        <w:rPr>
          <w:b/>
          <w:lang w:val="lv-LV"/>
        </w:rPr>
        <w:t>Sociālo pakalpojumu lietotāji</w:t>
      </w:r>
      <w:r w:rsidR="00405F70" w:rsidRPr="00AA6642">
        <w:rPr>
          <w:b/>
          <w:lang w:val="lv-LV"/>
        </w:rPr>
        <w:t xml:space="preserve"> </w:t>
      </w:r>
      <w:r w:rsidR="00405F70" w:rsidRPr="00AA6642">
        <w:rPr>
          <w:lang w:val="lv-LV"/>
        </w:rPr>
        <w:t xml:space="preserve">: </w:t>
      </w:r>
      <w:r w:rsidRPr="00AA6642">
        <w:rPr>
          <w:lang w:val="lv-LV"/>
        </w:rPr>
        <w:t>mūsu gadījumā cilvēki ar invaliditāti</w:t>
      </w:r>
      <w:r w:rsidR="00405F70" w:rsidRPr="00AA6642">
        <w:rPr>
          <w:lang w:val="lv-LV"/>
        </w:rPr>
        <w:t xml:space="preserve"> (</w:t>
      </w:r>
      <w:r w:rsidRPr="00AA6642">
        <w:rPr>
          <w:lang w:val="lv-LV"/>
        </w:rPr>
        <w:t>un eventuāli</w:t>
      </w:r>
      <w:r w:rsidR="00405F70" w:rsidRPr="00AA6642">
        <w:rPr>
          <w:lang w:val="lv-LV"/>
        </w:rPr>
        <w:t xml:space="preserve"> </w:t>
      </w:r>
      <w:r w:rsidRPr="00AA6642">
        <w:rPr>
          <w:lang w:val="lv-LV"/>
        </w:rPr>
        <w:t>viņu ģimenes vai legālie pārstāvji</w:t>
      </w:r>
      <w:r w:rsidR="00405F70" w:rsidRPr="00AA6642">
        <w:rPr>
          <w:lang w:val="lv-LV"/>
        </w:rPr>
        <w:t>);</w:t>
      </w:r>
    </w:p>
    <w:p w:rsidR="00405F70" w:rsidRPr="00AA6642" w:rsidRDefault="00E45DEF" w:rsidP="00984EDB">
      <w:pPr>
        <w:pStyle w:val="ListParagraph"/>
        <w:numPr>
          <w:ilvl w:val="0"/>
          <w:numId w:val="31"/>
        </w:numPr>
        <w:rPr>
          <w:lang w:val="lv-LV"/>
        </w:rPr>
      </w:pPr>
      <w:r w:rsidRPr="00AA6642">
        <w:rPr>
          <w:lang w:val="lv-LV"/>
        </w:rPr>
        <w:t>Sociālo pakalpojumu sniedzēji, gan publiskie, gan privātie</w:t>
      </w:r>
      <w:r w:rsidR="00405F70" w:rsidRPr="00AA6642">
        <w:rPr>
          <w:lang w:val="lv-LV"/>
        </w:rPr>
        <w:t>;</w:t>
      </w:r>
    </w:p>
    <w:p w:rsidR="00405F70" w:rsidRPr="00AA6642" w:rsidRDefault="00D41F37" w:rsidP="00984EDB">
      <w:pPr>
        <w:pStyle w:val="ListParagraph"/>
        <w:numPr>
          <w:ilvl w:val="0"/>
          <w:numId w:val="31"/>
        </w:numPr>
        <w:rPr>
          <w:lang w:val="lv-LV"/>
        </w:rPr>
      </w:pPr>
      <w:r w:rsidRPr="00AA6642">
        <w:rPr>
          <w:b/>
          <w:lang w:val="lv-LV"/>
        </w:rPr>
        <w:t>Valsts</w:t>
      </w:r>
      <w:r w:rsidR="00405F70" w:rsidRPr="00AA6642">
        <w:rPr>
          <w:b/>
          <w:lang w:val="lv-LV"/>
        </w:rPr>
        <w:t xml:space="preserve">, </w:t>
      </w:r>
      <w:r w:rsidRPr="00AA6642">
        <w:rPr>
          <w:lang w:val="lv-LV"/>
        </w:rPr>
        <w:t>kurai parasti ir regulatorā loma</w:t>
      </w:r>
      <w:r w:rsidR="00405F70" w:rsidRPr="00AA6642">
        <w:rPr>
          <w:lang w:val="lv-LV"/>
        </w:rPr>
        <w:t>.</w:t>
      </w:r>
    </w:p>
    <w:p w:rsidR="00D41F37" w:rsidRPr="00AA6642" w:rsidRDefault="00D41F37" w:rsidP="00936B86">
      <w:pPr>
        <w:rPr>
          <w:lang w:val="lv-LV"/>
        </w:rPr>
      </w:pPr>
      <w:r w:rsidRPr="00AA6642">
        <w:rPr>
          <w:lang w:val="lv-LV"/>
        </w:rPr>
        <w:t>Līdztekus šīm trim kategorijām, procesā piedalās vēl daudzas citas ieinteresētās puses: mediji, donori, pilsoniskās sabiedrības grupas un organizācijas, profesionālās grupas, universitātes,</w:t>
      </w:r>
      <w:r w:rsidR="00486939" w:rsidRPr="00AA6642">
        <w:rPr>
          <w:lang w:val="lv-LV"/>
        </w:rPr>
        <w:t xml:space="preserve"> skolas un apmācību sniedzēji</w:t>
      </w:r>
      <w:r w:rsidRPr="00AA6642">
        <w:rPr>
          <w:lang w:val="lv-LV"/>
        </w:rPr>
        <w:t xml:space="preserve"> u</w:t>
      </w:r>
      <w:r w:rsidR="00486939" w:rsidRPr="00AA6642">
        <w:rPr>
          <w:lang w:val="lv-LV"/>
        </w:rPr>
        <w:t xml:space="preserve">.c. </w:t>
      </w:r>
      <w:r w:rsidRPr="00AA6642">
        <w:rPr>
          <w:lang w:val="lv-LV"/>
        </w:rPr>
        <w:t xml:space="preserve">Tomēr, no </w:t>
      </w:r>
      <w:r w:rsidR="00486939" w:rsidRPr="00AA6642">
        <w:rPr>
          <w:lang w:val="lv-LV"/>
        </w:rPr>
        <w:t xml:space="preserve">pakalpojumu sniegšanas organizēšanas </w:t>
      </w:r>
      <w:r w:rsidRPr="00AA6642">
        <w:rPr>
          <w:lang w:val="lv-LV"/>
        </w:rPr>
        <w:t>viedokļa (un normatīvie</w:t>
      </w:r>
      <w:r w:rsidR="00486939" w:rsidRPr="00AA6642">
        <w:rPr>
          <w:lang w:val="lv-LV"/>
        </w:rPr>
        <w:t>m</w:t>
      </w:r>
      <w:r w:rsidRPr="00AA6642">
        <w:rPr>
          <w:lang w:val="lv-LV"/>
        </w:rPr>
        <w:t xml:space="preserve"> mehānismi</w:t>
      </w:r>
      <w:r w:rsidR="00486939" w:rsidRPr="00AA6642">
        <w:rPr>
          <w:lang w:val="lv-LV"/>
        </w:rPr>
        <w:t>em</w:t>
      </w:r>
      <w:r w:rsidRPr="00AA6642">
        <w:rPr>
          <w:lang w:val="lv-LV"/>
        </w:rPr>
        <w:t xml:space="preserve">), </w:t>
      </w:r>
      <w:r w:rsidR="00486939" w:rsidRPr="00AA6642">
        <w:rPr>
          <w:lang w:val="lv-LV"/>
        </w:rPr>
        <w:t xml:space="preserve">būtiskas  ir </w:t>
      </w:r>
      <w:r w:rsidRPr="00AA6642">
        <w:rPr>
          <w:lang w:val="lv-LV"/>
        </w:rPr>
        <w:t>šīs trīs kategorijas ieinteresēt</w:t>
      </w:r>
      <w:r w:rsidR="00486939" w:rsidRPr="00AA6642">
        <w:rPr>
          <w:lang w:val="lv-LV"/>
        </w:rPr>
        <w:t>o</w:t>
      </w:r>
      <w:r w:rsidRPr="00AA6642">
        <w:rPr>
          <w:lang w:val="lv-LV"/>
        </w:rPr>
        <w:t xml:space="preserve"> p</w:t>
      </w:r>
      <w:r w:rsidR="00486939" w:rsidRPr="00AA6642">
        <w:rPr>
          <w:lang w:val="lv-LV"/>
        </w:rPr>
        <w:t>ušu</w:t>
      </w:r>
      <w:r w:rsidRPr="00AA6642">
        <w:rPr>
          <w:lang w:val="lv-LV"/>
        </w:rPr>
        <w:t xml:space="preserve"> un </w:t>
      </w:r>
      <w:r w:rsidR="00486939" w:rsidRPr="00AA6642">
        <w:rPr>
          <w:lang w:val="lv-LV"/>
        </w:rPr>
        <w:t xml:space="preserve">attiecības </w:t>
      </w:r>
      <w:r w:rsidRPr="00AA6642">
        <w:rPr>
          <w:lang w:val="lv-LV"/>
        </w:rPr>
        <w:t>starp tām.</w:t>
      </w:r>
    </w:p>
    <w:p w:rsidR="00405F70" w:rsidRPr="00AA6642" w:rsidRDefault="004450A6" w:rsidP="00CF52D5">
      <w:pPr>
        <w:spacing w:after="0"/>
        <w:rPr>
          <w:b/>
          <w:lang w:val="lv-LV"/>
        </w:rPr>
      </w:pPr>
      <w:r w:rsidRPr="00AA6642">
        <w:rPr>
          <w:b/>
          <w:lang w:val="lv-LV"/>
        </w:rPr>
        <w:t>Kas parasti ir</w:t>
      </w:r>
      <w:r w:rsidR="00486939" w:rsidRPr="00AA6642">
        <w:rPr>
          <w:b/>
          <w:lang w:val="lv-LV"/>
        </w:rPr>
        <w:t xml:space="preserve"> ieinteresētās puses</w:t>
      </w:r>
      <w:r w:rsidR="004F2B36" w:rsidRPr="00AA6642">
        <w:rPr>
          <w:b/>
          <w:lang w:val="lv-LV"/>
        </w:rPr>
        <w:t>?</w:t>
      </w:r>
    </w:p>
    <w:p w:rsidR="004F2B36" w:rsidRPr="00AA6642" w:rsidRDefault="00486939" w:rsidP="00984EDB">
      <w:pPr>
        <w:pStyle w:val="ListParagraph"/>
        <w:numPr>
          <w:ilvl w:val="0"/>
          <w:numId w:val="5"/>
        </w:numPr>
        <w:rPr>
          <w:lang w:val="lv-LV"/>
        </w:rPr>
      </w:pPr>
      <w:r w:rsidRPr="00AA6642">
        <w:rPr>
          <w:lang w:val="lv-LV"/>
        </w:rPr>
        <w:t>Runājot par valsti, parasti attiecinām to uz</w:t>
      </w:r>
      <w:r w:rsidR="004F2B36" w:rsidRPr="00AA6642">
        <w:rPr>
          <w:lang w:val="lv-LV"/>
        </w:rPr>
        <w:t>:</w:t>
      </w:r>
    </w:p>
    <w:p w:rsidR="004F2B36" w:rsidRPr="00AA6642" w:rsidRDefault="00486939" w:rsidP="00984EDB">
      <w:pPr>
        <w:pStyle w:val="ListParagraph"/>
        <w:numPr>
          <w:ilvl w:val="1"/>
          <w:numId w:val="5"/>
        </w:numPr>
        <w:rPr>
          <w:lang w:val="lv-LV"/>
        </w:rPr>
      </w:pPr>
      <w:r w:rsidRPr="00AA6642">
        <w:rPr>
          <w:lang w:val="lv-LV"/>
        </w:rPr>
        <w:t>Valsts iestādēm</w:t>
      </w:r>
      <w:r w:rsidR="004F2B36" w:rsidRPr="00AA6642">
        <w:rPr>
          <w:lang w:val="lv-LV"/>
        </w:rPr>
        <w:t xml:space="preserve"> (</w:t>
      </w:r>
      <w:r w:rsidRPr="00AA6642">
        <w:rPr>
          <w:lang w:val="lv-LV"/>
        </w:rPr>
        <w:t>ministrijām</w:t>
      </w:r>
      <w:r w:rsidR="004F2B36" w:rsidRPr="00AA6642">
        <w:rPr>
          <w:lang w:val="lv-LV"/>
        </w:rPr>
        <w:t xml:space="preserve">, </w:t>
      </w:r>
      <w:r w:rsidRPr="00AA6642">
        <w:rPr>
          <w:lang w:val="lv-LV"/>
        </w:rPr>
        <w:t>dažādām valsts komisijām</w:t>
      </w:r>
      <w:r w:rsidR="004F2B36" w:rsidRPr="00AA6642">
        <w:rPr>
          <w:lang w:val="lv-LV"/>
        </w:rPr>
        <w:t xml:space="preserve">, </w:t>
      </w:r>
      <w:r w:rsidRPr="00AA6642">
        <w:rPr>
          <w:lang w:val="lv-LV"/>
        </w:rPr>
        <w:t>padomēm u.c.</w:t>
      </w:r>
      <w:r w:rsidR="004F2B36" w:rsidRPr="00AA6642">
        <w:rPr>
          <w:lang w:val="lv-LV"/>
        </w:rPr>
        <w:t>.);</w:t>
      </w:r>
    </w:p>
    <w:p w:rsidR="004F2B36" w:rsidRPr="00AA6642" w:rsidRDefault="00486939" w:rsidP="00984EDB">
      <w:pPr>
        <w:pStyle w:val="ListParagraph"/>
        <w:numPr>
          <w:ilvl w:val="1"/>
          <w:numId w:val="5"/>
        </w:numPr>
        <w:rPr>
          <w:lang w:val="lv-LV"/>
        </w:rPr>
      </w:pPr>
      <w:r w:rsidRPr="00AA6642">
        <w:rPr>
          <w:lang w:val="lv-LV"/>
        </w:rPr>
        <w:t>Pašvaldību un reģionālajām iestādēm</w:t>
      </w:r>
      <w:r w:rsidR="004F2B36" w:rsidRPr="00AA6642">
        <w:rPr>
          <w:lang w:val="lv-LV"/>
        </w:rPr>
        <w:t xml:space="preserve"> (</w:t>
      </w:r>
      <w:r w:rsidRPr="00AA6642">
        <w:rPr>
          <w:lang w:val="lv-LV"/>
        </w:rPr>
        <w:t>vai nu decentralizētas ministriju iestādes</w:t>
      </w:r>
      <w:r w:rsidR="004F2B36" w:rsidRPr="00AA6642">
        <w:rPr>
          <w:lang w:val="lv-LV"/>
        </w:rPr>
        <w:t xml:space="preserve"> </w:t>
      </w:r>
      <w:r w:rsidRPr="00AA6642">
        <w:rPr>
          <w:lang w:val="lv-LV"/>
        </w:rPr>
        <w:t>vai vietējās vēlētās pašvaldības</w:t>
      </w:r>
      <w:r w:rsidR="004F2B36" w:rsidRPr="00AA6642">
        <w:rPr>
          <w:lang w:val="lv-LV"/>
        </w:rPr>
        <w:t>);</w:t>
      </w:r>
    </w:p>
    <w:p w:rsidR="004F2B36" w:rsidRPr="00AA6642" w:rsidRDefault="00486939" w:rsidP="00984EDB">
      <w:pPr>
        <w:pStyle w:val="ListParagraph"/>
        <w:numPr>
          <w:ilvl w:val="0"/>
          <w:numId w:val="5"/>
        </w:numPr>
        <w:rPr>
          <w:lang w:val="lv-LV"/>
        </w:rPr>
      </w:pPr>
      <w:r w:rsidRPr="00AA6642">
        <w:rPr>
          <w:lang w:val="lv-LV"/>
        </w:rPr>
        <w:t>Runājot par sociālo pakalpojumu sniedzējiem, mēs parasti attiecinām to uz 5 dažādām kategorijām:</w:t>
      </w:r>
    </w:p>
    <w:p w:rsidR="004F2B36" w:rsidRPr="00AA6642" w:rsidRDefault="00486939" w:rsidP="00984EDB">
      <w:pPr>
        <w:pStyle w:val="ListParagraph"/>
        <w:numPr>
          <w:ilvl w:val="1"/>
          <w:numId w:val="5"/>
        </w:numPr>
        <w:rPr>
          <w:lang w:val="lv-LV"/>
        </w:rPr>
      </w:pPr>
      <w:r w:rsidRPr="00AA6642">
        <w:rPr>
          <w:lang w:val="lv-LV"/>
        </w:rPr>
        <w:t>Publiskie pakalpojumu sniedzēji</w:t>
      </w:r>
      <w:r w:rsidR="004F2B36" w:rsidRPr="00AA6642">
        <w:rPr>
          <w:lang w:val="lv-LV"/>
        </w:rPr>
        <w:t xml:space="preserve"> (</w:t>
      </w:r>
      <w:r w:rsidRPr="00AA6642">
        <w:rPr>
          <w:lang w:val="lv-LV"/>
        </w:rPr>
        <w:t>tie, kuri tiek finansēti tieši no valsts budžeta</w:t>
      </w:r>
      <w:r w:rsidR="004F2B36" w:rsidRPr="00AA6642">
        <w:rPr>
          <w:lang w:val="lv-LV"/>
        </w:rPr>
        <w:t>);</w:t>
      </w:r>
    </w:p>
    <w:p w:rsidR="004F2B36" w:rsidRPr="00AA6642" w:rsidRDefault="00486939" w:rsidP="00984EDB">
      <w:pPr>
        <w:pStyle w:val="ListParagraph"/>
        <w:numPr>
          <w:ilvl w:val="1"/>
          <w:numId w:val="5"/>
        </w:numPr>
        <w:rPr>
          <w:lang w:val="lv-LV"/>
        </w:rPr>
      </w:pPr>
      <w:r w:rsidRPr="00AA6642">
        <w:rPr>
          <w:lang w:val="lv-LV"/>
        </w:rPr>
        <w:t>Bezpeļņas organizācijas, kuras sniedz pakalpojumus (labdarības organizācijas, NVO, u.</w:t>
      </w:r>
      <w:r w:rsidR="004F2B36" w:rsidRPr="00AA6642">
        <w:rPr>
          <w:lang w:val="lv-LV"/>
        </w:rPr>
        <w:t>c.);</w:t>
      </w:r>
    </w:p>
    <w:p w:rsidR="004F2B36" w:rsidRPr="00AA6642" w:rsidRDefault="00CE347F" w:rsidP="00984EDB">
      <w:pPr>
        <w:pStyle w:val="ListParagraph"/>
        <w:numPr>
          <w:ilvl w:val="1"/>
          <w:numId w:val="5"/>
        </w:numPr>
        <w:rPr>
          <w:lang w:val="lv-LV"/>
        </w:rPr>
      </w:pPr>
      <w:r w:rsidRPr="00AA6642">
        <w:rPr>
          <w:lang w:val="lv-LV"/>
        </w:rPr>
        <w:t>Individuālas personas, kuras personas ar invaliditāti uz tieša līguma pamata  algoto kā personiskos asistentus</w:t>
      </w:r>
      <w:r w:rsidR="004F2B36" w:rsidRPr="00AA6642">
        <w:rPr>
          <w:lang w:val="lv-LV"/>
        </w:rPr>
        <w:t>;</w:t>
      </w:r>
    </w:p>
    <w:p w:rsidR="004F2B36" w:rsidRPr="00AA6642" w:rsidRDefault="00CE347F" w:rsidP="00984EDB">
      <w:pPr>
        <w:pStyle w:val="ListParagraph"/>
        <w:numPr>
          <w:ilvl w:val="1"/>
          <w:numId w:val="5"/>
        </w:numPr>
        <w:rPr>
          <w:lang w:val="lv-LV"/>
        </w:rPr>
      </w:pPr>
      <w:r w:rsidRPr="00AA6642">
        <w:rPr>
          <w:lang w:val="lv-LV"/>
        </w:rPr>
        <w:t>Peļņas organizācijas, kuras sniedz pakalpojumus</w:t>
      </w:r>
      <w:r w:rsidR="004F2B36" w:rsidRPr="00AA6642">
        <w:rPr>
          <w:lang w:val="lv-LV"/>
        </w:rPr>
        <w:t>;</w:t>
      </w:r>
    </w:p>
    <w:p w:rsidR="004F2B36" w:rsidRPr="00AA6642" w:rsidRDefault="004F2B36" w:rsidP="00984EDB">
      <w:pPr>
        <w:pStyle w:val="ListParagraph"/>
        <w:numPr>
          <w:ilvl w:val="1"/>
          <w:numId w:val="5"/>
        </w:numPr>
        <w:rPr>
          <w:lang w:val="lv-LV"/>
        </w:rPr>
      </w:pPr>
      <w:r w:rsidRPr="00AA6642">
        <w:rPr>
          <w:lang w:val="lv-LV"/>
        </w:rPr>
        <w:t>“</w:t>
      </w:r>
      <w:r w:rsidR="00CE347F" w:rsidRPr="00AA6642">
        <w:rPr>
          <w:lang w:val="lv-LV"/>
        </w:rPr>
        <w:t>neformālie</w:t>
      </w:r>
      <w:r w:rsidRPr="00AA6642">
        <w:rPr>
          <w:lang w:val="lv-LV"/>
        </w:rPr>
        <w:t xml:space="preserve">” </w:t>
      </w:r>
      <w:r w:rsidR="00CE347F" w:rsidRPr="00AA6642">
        <w:rPr>
          <w:lang w:val="lv-LV"/>
        </w:rPr>
        <w:t xml:space="preserve">sniedzēji </w:t>
      </w:r>
      <w:r w:rsidRPr="00AA6642">
        <w:rPr>
          <w:lang w:val="lv-LV"/>
        </w:rPr>
        <w:t>(</w:t>
      </w:r>
      <w:r w:rsidR="00CE347F" w:rsidRPr="00AA6642">
        <w:rPr>
          <w:lang w:val="lv-LV"/>
        </w:rPr>
        <w:t>piemēram</w:t>
      </w:r>
      <w:r w:rsidR="00AA6642" w:rsidRPr="00AA6642">
        <w:rPr>
          <w:lang w:val="lv-LV"/>
        </w:rPr>
        <w:t>,</w:t>
      </w:r>
      <w:r w:rsidR="00CE347F" w:rsidRPr="00AA6642">
        <w:rPr>
          <w:lang w:val="lv-LV"/>
        </w:rPr>
        <w:t xml:space="preserve"> ģimenes vai brīvprātīgie</w:t>
      </w:r>
      <w:r w:rsidRPr="00AA6642">
        <w:rPr>
          <w:lang w:val="lv-LV"/>
        </w:rPr>
        <w:t>).</w:t>
      </w:r>
    </w:p>
    <w:p w:rsidR="004F2B36" w:rsidRPr="00AA6642" w:rsidRDefault="00CE347F" w:rsidP="00936B86">
      <w:pPr>
        <w:rPr>
          <w:lang w:val="lv-LV"/>
        </w:rPr>
      </w:pPr>
      <w:r w:rsidRPr="00AA6642">
        <w:rPr>
          <w:lang w:val="lv-LV"/>
        </w:rPr>
        <w:t xml:space="preserve">Pēdējās četras iepriekš minētās kategorijas var tikt apvienotas zem nosaukuma “privātie sniedzēji”. </w:t>
      </w:r>
    </w:p>
    <w:p w:rsidR="004F2B36" w:rsidRPr="00AA6642" w:rsidRDefault="00CE347F" w:rsidP="00936B86">
      <w:pPr>
        <w:rPr>
          <w:lang w:val="lv-LV"/>
        </w:rPr>
      </w:pPr>
      <w:r w:rsidRPr="00AA6642">
        <w:rPr>
          <w:lang w:val="lv-LV"/>
        </w:rPr>
        <w:lastRenderedPageBreak/>
        <w:t>Daudzveidīgu pakalpojumu sniedzēju līdzāspastāvēšana  vienā valstī ir kļuvusi par atzītu sociālās sfēras modernizācijas iezīmi, un tā ir apzīmēta ar terminu "labklājības mix".</w:t>
      </w:r>
    </w:p>
    <w:p w:rsidR="004F2B36" w:rsidRPr="00AA6642" w:rsidRDefault="00CE347F" w:rsidP="00984EDB">
      <w:pPr>
        <w:pStyle w:val="ListParagraph"/>
        <w:numPr>
          <w:ilvl w:val="0"/>
          <w:numId w:val="6"/>
        </w:numPr>
        <w:rPr>
          <w:lang w:val="lv-LV"/>
        </w:rPr>
      </w:pPr>
      <w:r w:rsidRPr="00AA6642">
        <w:rPr>
          <w:lang w:val="lv-LV"/>
        </w:rPr>
        <w:t>Kad mēs runājam par sociālo pakalpojumu</w:t>
      </w:r>
      <w:r w:rsidR="009E7E15" w:rsidRPr="00AA6642">
        <w:rPr>
          <w:lang w:val="lv-LV"/>
        </w:rPr>
        <w:t xml:space="preserve"> lietotājiem</w:t>
      </w:r>
      <w:r w:rsidRPr="00AA6642">
        <w:rPr>
          <w:lang w:val="lv-LV"/>
        </w:rPr>
        <w:t xml:space="preserve"> invaliditāt</w:t>
      </w:r>
      <w:r w:rsidR="009E7E15" w:rsidRPr="00AA6642">
        <w:rPr>
          <w:lang w:val="lv-LV"/>
        </w:rPr>
        <w:t>es jomā, mēs parasti domājam par</w:t>
      </w:r>
      <w:r w:rsidRPr="00AA6642">
        <w:rPr>
          <w:lang w:val="lv-LV"/>
        </w:rPr>
        <w:t>:</w:t>
      </w:r>
      <w:r w:rsidR="001A1DE1" w:rsidRPr="00AA6642">
        <w:rPr>
          <w:lang w:val="lv-LV"/>
        </w:rPr>
        <w:t xml:space="preserve">  </w:t>
      </w:r>
    </w:p>
    <w:p w:rsidR="004F2B36" w:rsidRPr="00AA6642" w:rsidRDefault="009E7E15" w:rsidP="00984EDB">
      <w:pPr>
        <w:pStyle w:val="ListParagraph"/>
        <w:numPr>
          <w:ilvl w:val="1"/>
          <w:numId w:val="6"/>
        </w:numPr>
        <w:rPr>
          <w:lang w:val="lv-LV"/>
        </w:rPr>
      </w:pPr>
      <w:r w:rsidRPr="00AA6642">
        <w:rPr>
          <w:lang w:val="lv-LV"/>
        </w:rPr>
        <w:t>Cilvēkiem ar invaliditāti (bērniem, jauniešiem vai pieaugušiem</w:t>
      </w:r>
      <w:r w:rsidR="004F2B36" w:rsidRPr="00AA6642">
        <w:rPr>
          <w:lang w:val="lv-LV"/>
        </w:rPr>
        <w:t>);</w:t>
      </w:r>
    </w:p>
    <w:p w:rsidR="009E7E15" w:rsidRPr="00AA6642" w:rsidRDefault="009E7E15" w:rsidP="009E7E15">
      <w:pPr>
        <w:pStyle w:val="ListParagraph"/>
        <w:numPr>
          <w:ilvl w:val="1"/>
          <w:numId w:val="6"/>
        </w:numPr>
        <w:rPr>
          <w:lang w:val="lv-LV"/>
        </w:rPr>
      </w:pPr>
      <w:r w:rsidRPr="00AA6642">
        <w:rPr>
          <w:lang w:val="lv-LV"/>
        </w:rPr>
        <w:t xml:space="preserve">Cilvēkiem ar invaliditāti, kuri ir pakļauti kādiem paaugstināta riska apstākļiem (nabadzībai, ar dzimumu vai etnisko izcelsmi saistītai diskriminācijai, HIV skarti cilvēki, vardarbībā cietuši cilvēki u.c.)  </w:t>
      </w:r>
    </w:p>
    <w:p w:rsidR="004F2B36" w:rsidRPr="00AA6642" w:rsidRDefault="009E7E15" w:rsidP="009E7E15">
      <w:pPr>
        <w:pStyle w:val="ListParagraph"/>
        <w:numPr>
          <w:ilvl w:val="1"/>
          <w:numId w:val="6"/>
        </w:numPr>
        <w:rPr>
          <w:lang w:val="lv-LV"/>
        </w:rPr>
      </w:pPr>
      <w:r w:rsidRPr="00AA6642">
        <w:rPr>
          <w:lang w:val="lv-LV"/>
        </w:rPr>
        <w:t>Cilvēku ar invaliditāti ģimenēm vai legālie pārstāvjiem</w:t>
      </w:r>
      <w:r w:rsidR="004F2B36" w:rsidRPr="00AA6642">
        <w:rPr>
          <w:lang w:val="lv-LV"/>
        </w:rPr>
        <w:t>;</w:t>
      </w:r>
    </w:p>
    <w:p w:rsidR="004F2B36" w:rsidRPr="00AA6642" w:rsidRDefault="009E7E15" w:rsidP="00984EDB">
      <w:pPr>
        <w:pStyle w:val="ListParagraph"/>
        <w:numPr>
          <w:ilvl w:val="1"/>
          <w:numId w:val="6"/>
        </w:numPr>
        <w:rPr>
          <w:lang w:val="lv-LV"/>
        </w:rPr>
      </w:pPr>
      <w:r w:rsidRPr="00AA6642">
        <w:rPr>
          <w:lang w:val="lv-LV"/>
        </w:rPr>
        <w:t xml:space="preserve">Sabiedrību kopumā, kad </w:t>
      </w:r>
      <w:r w:rsidR="00473BDA" w:rsidRPr="00AA6642">
        <w:rPr>
          <w:lang w:val="lv-LV"/>
        </w:rPr>
        <w:t xml:space="preserve">pakalpojumi ietekmē attieksmes, skatījuma vai prakses, kas saistīta ar cilvēkiem ar invaliditāti maiņu. </w:t>
      </w:r>
      <w:r w:rsidRPr="00AA6642">
        <w:rPr>
          <w:lang w:val="lv-LV"/>
        </w:rPr>
        <w:t xml:space="preserve"> </w:t>
      </w:r>
    </w:p>
    <w:p w:rsidR="005E2DCC" w:rsidRPr="00AA6642" w:rsidRDefault="00443049" w:rsidP="009437F1">
      <w:pPr>
        <w:pStyle w:val="Heading2"/>
        <w:rPr>
          <w:lang w:val="lv-LV"/>
        </w:rPr>
      </w:pPr>
      <w:bookmarkStart w:id="19" w:name="_Toc443312607"/>
      <w:bookmarkStart w:id="20" w:name="_Toc444090578"/>
      <w:r w:rsidRPr="00AA6642">
        <w:rPr>
          <w:lang w:val="lv-LV"/>
        </w:rPr>
        <w:t>I</w:t>
      </w:r>
      <w:r w:rsidR="009112B8" w:rsidRPr="00AA6642">
        <w:rPr>
          <w:lang w:val="lv-LV"/>
        </w:rPr>
        <w:t>V</w:t>
      </w:r>
      <w:r w:rsidR="005E2DCC" w:rsidRPr="00AA6642">
        <w:rPr>
          <w:lang w:val="lv-LV"/>
        </w:rPr>
        <w:t xml:space="preserve">.1.2 </w:t>
      </w:r>
      <w:bookmarkEnd w:id="19"/>
      <w:bookmarkEnd w:id="20"/>
      <w:r w:rsidR="00473BDA" w:rsidRPr="00AA6642">
        <w:rPr>
          <w:lang w:val="lv-LV"/>
        </w:rPr>
        <w:t>Īsa cilvēktiesību vēsture</w:t>
      </w:r>
    </w:p>
    <w:p w:rsidR="00987A64" w:rsidRPr="00AA6642" w:rsidRDefault="00473BDA" w:rsidP="00936B86">
      <w:pPr>
        <w:rPr>
          <w:lang w:val="lv-LV"/>
        </w:rPr>
      </w:pPr>
      <w:r w:rsidRPr="00AA6642">
        <w:rPr>
          <w:lang w:val="lv-LV"/>
        </w:rPr>
        <w:t xml:space="preserve">Laikā, kad Eiropas sabiedrība cīnās, lai līdzsvarotu sociālās tiesības ar budžeta samazinājumu, saskaroties ar  ekonomiskās krīzes, invaliditātes nozare ir nonākusi krustcelēs. Nākamie gadi būs izšķiroši sociālās palīdzības pakalpojumu nozarei nākotnes veidošanā, un neviena organizācija nākotni nespēj veidot vienatnē. </w:t>
      </w:r>
      <w:r w:rsidRPr="00AA6642">
        <w:rPr>
          <w:b/>
          <w:lang w:val="lv-LV"/>
        </w:rPr>
        <w:t xml:space="preserve">Visos līmeņos ir </w:t>
      </w:r>
      <w:r w:rsidR="00AA6642" w:rsidRPr="00AA6642">
        <w:rPr>
          <w:b/>
          <w:lang w:val="lv-LV"/>
        </w:rPr>
        <w:t>jāattīsta</w:t>
      </w:r>
      <w:r w:rsidRPr="00AA6642">
        <w:rPr>
          <w:b/>
          <w:lang w:val="lv-LV"/>
        </w:rPr>
        <w:t xml:space="preserve"> sadarbība un tīklu veidošana, lai bruģētu ceļu uz iekļaujošu sabiedrību, kurā personas ar invaliditāti varētu pilnībā izmantot visas savas tiesības</w:t>
      </w:r>
      <w:r w:rsidRPr="00AA6642">
        <w:rPr>
          <w:lang w:val="lv-LV"/>
        </w:rPr>
        <w:t>,  nepieciešamības gadījumā atbalstu saņemot no sabiedrībā balstītiem pakalpojumiem.</w:t>
      </w:r>
      <w:r w:rsidR="00987A64" w:rsidRPr="00AA6642">
        <w:rPr>
          <w:lang w:val="lv-LV"/>
        </w:rPr>
        <w:t xml:space="preserve"> </w:t>
      </w:r>
    </w:p>
    <w:p w:rsidR="00473BDA" w:rsidRPr="00AA6642" w:rsidRDefault="00473BDA" w:rsidP="00936B86">
      <w:pPr>
        <w:rPr>
          <w:lang w:val="lv-LV"/>
        </w:rPr>
      </w:pPr>
      <w:r w:rsidRPr="00AA6642">
        <w:rPr>
          <w:lang w:val="lv-LV"/>
        </w:rPr>
        <w:t>Konvencijā invaliditāte vairs</w:t>
      </w:r>
      <w:r w:rsidR="00BD6636" w:rsidRPr="00AA6642">
        <w:rPr>
          <w:lang w:val="lv-LV"/>
        </w:rPr>
        <w:t xml:space="preserve"> netiek uztverta</w:t>
      </w:r>
      <w:r w:rsidRPr="00AA6642">
        <w:rPr>
          <w:lang w:val="lv-LV"/>
        </w:rPr>
        <w:t xml:space="preserve">  kā kaut kas vienai personai piemītošs, bet drīzāk  kā sabiedrības kopīga atbildība ikvienā</w:t>
      </w:r>
      <w:r w:rsidR="00BD6636" w:rsidRPr="00AA6642">
        <w:rPr>
          <w:lang w:val="lv-LV"/>
        </w:rPr>
        <w:t xml:space="preserve"> dzīves jomā. Sistēma</w:t>
      </w:r>
      <w:r w:rsidRPr="00AA6642">
        <w:rPr>
          <w:lang w:val="lv-LV"/>
        </w:rPr>
        <w:t xml:space="preserve">, kas garantē katras personas </w:t>
      </w:r>
      <w:r w:rsidR="00BD6636" w:rsidRPr="00AA6642">
        <w:rPr>
          <w:lang w:val="lv-LV"/>
        </w:rPr>
        <w:t>līdzdalību ikvienā dzīves aspektā</w:t>
      </w:r>
      <w:r w:rsidR="00AA6642" w:rsidRPr="00AA6642">
        <w:rPr>
          <w:lang w:val="lv-LV"/>
        </w:rPr>
        <w:t>,</w:t>
      </w:r>
      <w:r w:rsidR="00BD6636" w:rsidRPr="00AA6642">
        <w:rPr>
          <w:lang w:val="lv-LV"/>
        </w:rPr>
        <w:t xml:space="preserve"> ir sociāls izaicinājums</w:t>
      </w:r>
      <w:r w:rsidR="002723B9" w:rsidRPr="00AA6642">
        <w:rPr>
          <w:lang w:val="lv-LV"/>
        </w:rPr>
        <w:t>,</w:t>
      </w:r>
      <w:r w:rsidR="00BD6636" w:rsidRPr="00AA6642">
        <w:rPr>
          <w:lang w:val="lv-LV"/>
        </w:rPr>
        <w:t xml:space="preserve"> pie kura jāsāk strādāt visām valdībām. </w:t>
      </w:r>
    </w:p>
    <w:p w:rsidR="00BD6636" w:rsidRPr="00AA6642" w:rsidRDefault="00BD6636" w:rsidP="00936B86">
      <w:pPr>
        <w:rPr>
          <w:lang w:val="lv-LV"/>
        </w:rPr>
      </w:pPr>
      <w:r w:rsidRPr="00AA6642">
        <w:rPr>
          <w:lang w:val="lv-LV"/>
        </w:rPr>
        <w:t>Daudzi sociālo pakalpojumu personām ar invaliditāti sniedzēji ir specializēti un tiem ir liela pieredze</w:t>
      </w:r>
      <w:r w:rsidR="00AA6642" w:rsidRPr="00AA6642">
        <w:rPr>
          <w:lang w:val="lv-LV"/>
        </w:rPr>
        <w:t>,</w:t>
      </w:r>
      <w:r w:rsidRPr="00AA6642">
        <w:rPr>
          <w:lang w:val="lv-LV"/>
        </w:rPr>
        <w:t xml:space="preserve"> izstrādājot atbilstošas </w:t>
      </w:r>
      <w:r w:rsidR="002723B9" w:rsidRPr="00AA6642">
        <w:rPr>
          <w:lang w:val="lv-LV"/>
        </w:rPr>
        <w:t xml:space="preserve">pakalpojumu </w:t>
      </w:r>
      <w:r w:rsidRPr="00AA6642">
        <w:rPr>
          <w:lang w:val="lv-LV"/>
        </w:rPr>
        <w:t>sistēmas. Viens no viņu mērķiem tagad ir veicināt un izplatīt sabiedrībā kopumā šo labo praksi un pieredzi.</w:t>
      </w:r>
    </w:p>
    <w:p w:rsidR="005E2DCC" w:rsidRPr="00AA6642" w:rsidRDefault="00BD6636" w:rsidP="00936B86">
      <w:pPr>
        <w:rPr>
          <w:lang w:val="lv-LV"/>
        </w:rPr>
      </w:pPr>
      <w:r w:rsidRPr="00AA6642">
        <w:rPr>
          <w:lang w:val="lv-LV"/>
        </w:rPr>
        <w:t>Piemērs</w:t>
      </w:r>
      <w:r w:rsidR="009112B8" w:rsidRPr="00AA6642">
        <w:rPr>
          <w:lang w:val="lv-LV"/>
        </w:rPr>
        <w:t xml:space="preserve">: EASPD </w:t>
      </w:r>
      <w:r w:rsidRPr="00AA6642">
        <w:rPr>
          <w:lang w:val="lv-LV"/>
        </w:rPr>
        <w:t>ir izstrādājusi un ievieš jaunu stratēģisku orientāciju</w:t>
      </w:r>
      <w:r w:rsidR="009112B8" w:rsidRPr="00AA6642">
        <w:rPr>
          <w:lang w:val="lv-LV"/>
        </w:rPr>
        <w:t xml:space="preserve"> - "Reaching out strategy – to build an inclusive society"</w:t>
      </w:r>
      <w:r w:rsidR="009112B8" w:rsidRPr="00AA6642">
        <w:rPr>
          <w:rStyle w:val="FootnoteReference"/>
          <w:rFonts w:cs="Arial"/>
          <w:lang w:val="lv-LV"/>
        </w:rPr>
        <w:footnoteReference w:id="2"/>
      </w:r>
      <w:r w:rsidR="009112B8" w:rsidRPr="00AA6642">
        <w:rPr>
          <w:lang w:val="lv-LV"/>
        </w:rPr>
        <w:t>.</w:t>
      </w:r>
      <w:r w:rsidRPr="00AA6642">
        <w:rPr>
          <w:lang w:val="lv-LV"/>
        </w:rPr>
        <w:t xml:space="preserve"> Tā ievieš jaunu pieeju, kas veidot, lai veiksmīgāk sasniegtu  </w:t>
      </w:r>
      <w:r w:rsidRPr="00AA6642">
        <w:rPr>
          <w:lang w:val="lv-LV"/>
        </w:rPr>
        <w:lastRenderedPageBreak/>
        <w:t xml:space="preserve">personas ar invaliditāti, biedrus un sabiedrotos, kā arī citas ieinteresētās puses, piemēram, Eiropas iestādes. Stratēģiskie lēmumi un pasākumi, kurus ir </w:t>
      </w:r>
      <w:r w:rsidR="00F52624" w:rsidRPr="00AA6642">
        <w:rPr>
          <w:lang w:val="lv-LV"/>
        </w:rPr>
        <w:t>nolemts</w:t>
      </w:r>
      <w:r w:rsidRPr="00AA6642">
        <w:rPr>
          <w:lang w:val="lv-LV"/>
        </w:rPr>
        <w:t xml:space="preserve"> īstenot, ir pārvērsti konkrētās darbībās 2014. līdz 2017 gadu rīcības plānā. Ar šī dokumenta palīdzību, EASPD atkal pozicionē sociālo pakalpojumu sniedzējus, kā personu ar invaliditāti cilvēktiesību veicinātājus.</w:t>
      </w:r>
      <w:r w:rsidR="009112B8" w:rsidRPr="00AA6642">
        <w:rPr>
          <w:lang w:val="lv-LV"/>
        </w:rPr>
        <w:t xml:space="preserve"> </w:t>
      </w:r>
    </w:p>
    <w:p w:rsidR="005E2DCC" w:rsidRPr="00AA6642" w:rsidRDefault="00443049" w:rsidP="009437F1">
      <w:pPr>
        <w:pStyle w:val="Heading2"/>
        <w:rPr>
          <w:lang w:val="lv-LV"/>
        </w:rPr>
      </w:pPr>
      <w:bookmarkStart w:id="21" w:name="_Toc443312608"/>
      <w:bookmarkStart w:id="22" w:name="_Toc444090579"/>
      <w:r w:rsidRPr="00AA6642">
        <w:rPr>
          <w:lang w:val="lv-LV"/>
        </w:rPr>
        <w:t>I</w:t>
      </w:r>
      <w:r w:rsidR="008A5DD4" w:rsidRPr="00AA6642">
        <w:rPr>
          <w:lang w:val="lv-LV"/>
        </w:rPr>
        <w:t>V</w:t>
      </w:r>
      <w:r w:rsidR="005E2DCC" w:rsidRPr="00AA6642">
        <w:rPr>
          <w:lang w:val="lv-LV"/>
        </w:rPr>
        <w:t xml:space="preserve">.1.3 </w:t>
      </w:r>
      <w:bookmarkEnd w:id="21"/>
      <w:bookmarkEnd w:id="22"/>
      <w:r w:rsidR="00DA324D" w:rsidRPr="00AA6642">
        <w:rPr>
          <w:lang w:val="lv-LV"/>
        </w:rPr>
        <w:t>Ieguvumi no sadarbības</w:t>
      </w:r>
    </w:p>
    <w:p w:rsidR="008A5DD4" w:rsidRPr="00AA6642" w:rsidRDefault="00DA324D" w:rsidP="00CF52D5">
      <w:pPr>
        <w:spacing w:after="0"/>
        <w:rPr>
          <w:b/>
          <w:lang w:val="lv-LV"/>
        </w:rPr>
      </w:pPr>
      <w:r w:rsidRPr="00AA6642">
        <w:rPr>
          <w:b/>
          <w:lang w:val="lv-LV"/>
        </w:rPr>
        <w:t>Iespēja dalīties ar zināšanām</w:t>
      </w:r>
    </w:p>
    <w:p w:rsidR="008A5DD4" w:rsidRPr="00AA6642" w:rsidRDefault="00DA324D" w:rsidP="00CF52D5">
      <w:pPr>
        <w:spacing w:after="0"/>
        <w:rPr>
          <w:lang w:val="lv-LV"/>
        </w:rPr>
      </w:pPr>
      <w:r w:rsidRPr="00AA6642">
        <w:rPr>
          <w:lang w:val="lv-LV"/>
        </w:rPr>
        <w:t>Ir daudzas zināšanu jomas, kuras ir svarīgas pakalpojumu sniegšanā</w:t>
      </w:r>
      <w:r w:rsidR="008A5DD4" w:rsidRPr="00AA6642">
        <w:rPr>
          <w:lang w:val="lv-LV"/>
        </w:rPr>
        <w:t>:</w:t>
      </w:r>
    </w:p>
    <w:p w:rsidR="008A5DD4" w:rsidRPr="00AA6642" w:rsidRDefault="00DA324D" w:rsidP="00984EDB">
      <w:pPr>
        <w:pStyle w:val="ListParagraph"/>
        <w:numPr>
          <w:ilvl w:val="0"/>
          <w:numId w:val="7"/>
        </w:numPr>
        <w:rPr>
          <w:lang w:val="lv-LV"/>
        </w:rPr>
      </w:pPr>
      <w:r w:rsidRPr="00AA6642">
        <w:rPr>
          <w:lang w:val="lv-LV"/>
        </w:rPr>
        <w:t>Klientu speciālās vajadzības</w:t>
      </w:r>
    </w:p>
    <w:p w:rsidR="008A5DD4" w:rsidRPr="00AA6642" w:rsidRDefault="00DA324D" w:rsidP="00984EDB">
      <w:pPr>
        <w:pStyle w:val="ListParagraph"/>
        <w:numPr>
          <w:ilvl w:val="0"/>
          <w:numId w:val="7"/>
        </w:numPr>
        <w:rPr>
          <w:lang w:val="lv-LV"/>
        </w:rPr>
      </w:pPr>
      <w:r w:rsidRPr="00AA6642">
        <w:rPr>
          <w:lang w:val="lv-LV"/>
        </w:rPr>
        <w:t>Finansējuma iespējas</w:t>
      </w:r>
    </w:p>
    <w:p w:rsidR="008A5DD4" w:rsidRPr="00AA6642" w:rsidRDefault="00DA324D" w:rsidP="00984EDB">
      <w:pPr>
        <w:pStyle w:val="ListParagraph"/>
        <w:numPr>
          <w:ilvl w:val="0"/>
          <w:numId w:val="7"/>
        </w:numPr>
        <w:rPr>
          <w:lang w:val="lv-LV"/>
        </w:rPr>
      </w:pPr>
      <w:r w:rsidRPr="00AA6642">
        <w:rPr>
          <w:lang w:val="lv-LV"/>
        </w:rPr>
        <w:t>Likumiskais ietvars</w:t>
      </w:r>
    </w:p>
    <w:p w:rsidR="008A5DD4" w:rsidRPr="00AA6642" w:rsidRDefault="00DA324D" w:rsidP="00984EDB">
      <w:pPr>
        <w:pStyle w:val="ListParagraph"/>
        <w:numPr>
          <w:ilvl w:val="0"/>
          <w:numId w:val="7"/>
        </w:numPr>
        <w:rPr>
          <w:lang w:val="lv-LV"/>
        </w:rPr>
      </w:pPr>
      <w:r w:rsidRPr="00AA6642">
        <w:rPr>
          <w:lang w:val="lv-LV"/>
        </w:rPr>
        <w:t xml:space="preserve">Pakalpojumu un </w:t>
      </w:r>
      <w:r w:rsidR="00F52624" w:rsidRPr="00AA6642">
        <w:rPr>
          <w:lang w:val="lv-LV"/>
        </w:rPr>
        <w:t>uzņēmumu</w:t>
      </w:r>
      <w:r w:rsidRPr="00AA6642">
        <w:rPr>
          <w:lang w:val="lv-LV"/>
        </w:rPr>
        <w:t xml:space="preserve"> organizācija</w:t>
      </w:r>
    </w:p>
    <w:p w:rsidR="008A5DD4" w:rsidRPr="00AA6642" w:rsidRDefault="00DA324D" w:rsidP="00984EDB">
      <w:pPr>
        <w:pStyle w:val="ListParagraph"/>
        <w:numPr>
          <w:ilvl w:val="0"/>
          <w:numId w:val="7"/>
        </w:numPr>
        <w:rPr>
          <w:lang w:val="lv-LV"/>
        </w:rPr>
      </w:pPr>
      <w:r w:rsidRPr="00AA6642">
        <w:rPr>
          <w:lang w:val="lv-LV"/>
        </w:rPr>
        <w:t>Cilvēkresursu pārvaldība</w:t>
      </w:r>
    </w:p>
    <w:p w:rsidR="008A5DD4" w:rsidRPr="00AA6642" w:rsidRDefault="00DA324D" w:rsidP="00984EDB">
      <w:pPr>
        <w:pStyle w:val="ListParagraph"/>
        <w:numPr>
          <w:ilvl w:val="0"/>
          <w:numId w:val="7"/>
        </w:numPr>
        <w:rPr>
          <w:lang w:val="lv-LV"/>
        </w:rPr>
      </w:pPr>
      <w:r w:rsidRPr="00AA6642">
        <w:rPr>
          <w:lang w:val="lv-LV"/>
        </w:rPr>
        <w:t>citas</w:t>
      </w:r>
      <w:r w:rsidR="008A5DD4" w:rsidRPr="00AA6642">
        <w:rPr>
          <w:lang w:val="lv-LV"/>
        </w:rPr>
        <w:t>...</w:t>
      </w:r>
    </w:p>
    <w:p w:rsidR="008A5DD4" w:rsidRPr="00AA6642" w:rsidRDefault="008A5DD4" w:rsidP="00CF52D5">
      <w:pPr>
        <w:spacing w:after="0"/>
        <w:rPr>
          <w:b/>
          <w:lang w:val="lv-LV"/>
        </w:rPr>
      </w:pPr>
      <w:r w:rsidRPr="00AA6642">
        <w:rPr>
          <w:b/>
          <w:lang w:val="lv-LV"/>
        </w:rPr>
        <w:t>F</w:t>
      </w:r>
      <w:r w:rsidR="00DA324D" w:rsidRPr="00AA6642">
        <w:rPr>
          <w:b/>
          <w:lang w:val="lv-LV"/>
        </w:rPr>
        <w:t>inansējuma regulējums</w:t>
      </w:r>
    </w:p>
    <w:p w:rsidR="008A5DD4" w:rsidRPr="00AA6642" w:rsidRDefault="008A5DD4" w:rsidP="00984EDB">
      <w:pPr>
        <w:pStyle w:val="ListParagraph"/>
        <w:numPr>
          <w:ilvl w:val="0"/>
          <w:numId w:val="8"/>
        </w:numPr>
        <w:rPr>
          <w:lang w:val="lv-LV"/>
        </w:rPr>
      </w:pPr>
      <w:r w:rsidRPr="00AA6642">
        <w:rPr>
          <w:lang w:val="lv-LV"/>
        </w:rPr>
        <w:t>S</w:t>
      </w:r>
      <w:r w:rsidR="00DA324D" w:rsidRPr="00AA6642">
        <w:rPr>
          <w:lang w:val="lv-LV"/>
        </w:rPr>
        <w:t xml:space="preserve">pēcīgs finansiālais regulējums visam sektoram, ne tikai atsevišķiem pakalpojumu sniedzējiem </w:t>
      </w:r>
    </w:p>
    <w:p w:rsidR="008A5DD4" w:rsidRPr="00AA6642" w:rsidRDefault="00DA324D" w:rsidP="00984EDB">
      <w:pPr>
        <w:pStyle w:val="ListParagraph"/>
        <w:numPr>
          <w:ilvl w:val="0"/>
          <w:numId w:val="8"/>
        </w:numPr>
        <w:rPr>
          <w:lang w:val="lv-LV"/>
        </w:rPr>
      </w:pPr>
      <w:r w:rsidRPr="00AA6642">
        <w:rPr>
          <w:lang w:val="lv-LV"/>
        </w:rPr>
        <w:t xml:space="preserve">Šādi regulējumi ir patstāvīgi, ilgtspējīgāki un parasti to pamatā ir vispārīgs līgums. </w:t>
      </w:r>
    </w:p>
    <w:p w:rsidR="008A5DD4" w:rsidRPr="00AA6642" w:rsidRDefault="00DA324D" w:rsidP="00CF52D5">
      <w:pPr>
        <w:spacing w:after="0"/>
        <w:rPr>
          <w:b/>
          <w:lang w:val="lv-LV"/>
        </w:rPr>
      </w:pPr>
      <w:r w:rsidRPr="00AA6642">
        <w:rPr>
          <w:b/>
          <w:lang w:val="lv-LV"/>
        </w:rPr>
        <w:t>Cilvēkresursu pārvaldība</w:t>
      </w:r>
      <w:r w:rsidR="008A5DD4" w:rsidRPr="00AA6642">
        <w:rPr>
          <w:b/>
          <w:lang w:val="lv-LV"/>
        </w:rPr>
        <w:t xml:space="preserve"> (HRM)</w:t>
      </w:r>
    </w:p>
    <w:p w:rsidR="008A5DD4" w:rsidRPr="00AA6642" w:rsidRDefault="00DA324D" w:rsidP="00984EDB">
      <w:pPr>
        <w:pStyle w:val="ListParagraph"/>
        <w:numPr>
          <w:ilvl w:val="0"/>
          <w:numId w:val="9"/>
        </w:numPr>
        <w:rPr>
          <w:lang w:val="lv-LV"/>
        </w:rPr>
      </w:pPr>
      <w:r w:rsidRPr="00AA6642">
        <w:rPr>
          <w:lang w:val="lv-LV"/>
        </w:rPr>
        <w:t xml:space="preserve">Vispārējs regulējums par personāla izglītību un personāla apmācību sektorā </w:t>
      </w:r>
    </w:p>
    <w:p w:rsidR="008A5DD4" w:rsidRPr="00AA6642" w:rsidRDefault="00DA324D" w:rsidP="00984EDB">
      <w:pPr>
        <w:pStyle w:val="ListParagraph"/>
        <w:numPr>
          <w:ilvl w:val="0"/>
          <w:numId w:val="9"/>
        </w:numPr>
        <w:rPr>
          <w:lang w:val="lv-LV"/>
        </w:rPr>
      </w:pPr>
      <w:r w:rsidRPr="00AA6642">
        <w:rPr>
          <w:lang w:val="lv-LV"/>
        </w:rPr>
        <w:t xml:space="preserve">Labākas un lētākas personāla apmācības programmas sektorā </w:t>
      </w:r>
    </w:p>
    <w:p w:rsidR="008A5DD4" w:rsidRPr="00AA6642" w:rsidRDefault="00DA324D" w:rsidP="00984EDB">
      <w:pPr>
        <w:pStyle w:val="ListParagraph"/>
        <w:numPr>
          <w:ilvl w:val="0"/>
          <w:numId w:val="9"/>
        </w:numPr>
        <w:rPr>
          <w:lang w:val="lv-LV"/>
        </w:rPr>
      </w:pPr>
      <w:r w:rsidRPr="00AA6642">
        <w:rPr>
          <w:lang w:val="lv-LV"/>
        </w:rPr>
        <w:t xml:space="preserve">Stratēģiju izstrāde un adaptācija krīzes laikā </w:t>
      </w:r>
    </w:p>
    <w:p w:rsidR="008A5DD4" w:rsidRPr="00AA6642" w:rsidRDefault="00DA324D" w:rsidP="00CF52D5">
      <w:pPr>
        <w:spacing w:after="0"/>
        <w:rPr>
          <w:b/>
          <w:lang w:val="lv-LV"/>
        </w:rPr>
      </w:pPr>
      <w:r w:rsidRPr="00AA6642">
        <w:rPr>
          <w:b/>
          <w:lang w:val="lv-LV"/>
        </w:rPr>
        <w:t>Pārstāvība</w:t>
      </w:r>
    </w:p>
    <w:p w:rsidR="008A5DD4" w:rsidRPr="00AA6642" w:rsidRDefault="00DA324D" w:rsidP="00984EDB">
      <w:pPr>
        <w:pStyle w:val="ListParagraph"/>
        <w:numPr>
          <w:ilvl w:val="0"/>
          <w:numId w:val="10"/>
        </w:numPr>
        <w:rPr>
          <w:lang w:val="lv-LV"/>
        </w:rPr>
      </w:pPr>
      <w:r w:rsidRPr="00AA6642">
        <w:rPr>
          <w:lang w:val="lv-LV"/>
        </w:rPr>
        <w:t>Noteikti</w:t>
      </w:r>
      <w:r w:rsidR="00F52624" w:rsidRPr="00AA6642">
        <w:rPr>
          <w:lang w:val="lv-LV"/>
        </w:rPr>
        <w:t xml:space="preserve"> </w:t>
      </w:r>
      <w:r w:rsidRPr="00AA6642">
        <w:rPr>
          <w:lang w:val="lv-LV"/>
        </w:rPr>
        <w:t>pakalpojumu veidi</w:t>
      </w:r>
      <w:r w:rsidR="008A5DD4" w:rsidRPr="00AA6642">
        <w:rPr>
          <w:lang w:val="lv-LV"/>
        </w:rPr>
        <w:t xml:space="preserve"> (</w:t>
      </w:r>
      <w:r w:rsidRPr="00AA6642">
        <w:rPr>
          <w:lang w:val="lv-LV"/>
        </w:rPr>
        <w:t>atbalstītais darbs</w:t>
      </w:r>
      <w:r w:rsidR="008A5DD4" w:rsidRPr="00AA6642">
        <w:rPr>
          <w:lang w:val="lv-LV"/>
        </w:rPr>
        <w:t xml:space="preserve">, </w:t>
      </w:r>
      <w:r w:rsidRPr="00AA6642">
        <w:rPr>
          <w:lang w:val="lv-LV"/>
        </w:rPr>
        <w:t xml:space="preserve">darbu integrējoši sociālie uzņēmumi </w:t>
      </w:r>
      <w:r w:rsidR="008A5DD4" w:rsidRPr="00AA6642">
        <w:rPr>
          <w:lang w:val="lv-LV"/>
        </w:rPr>
        <w:t xml:space="preserve">(WISE), </w:t>
      </w:r>
      <w:r w:rsidRPr="00AA6642">
        <w:rPr>
          <w:lang w:val="lv-LV"/>
        </w:rPr>
        <w:t>agrīnā intervence</w:t>
      </w:r>
      <w:r w:rsidR="008A5DD4" w:rsidRPr="00AA6642">
        <w:rPr>
          <w:lang w:val="lv-LV"/>
        </w:rPr>
        <w:t xml:space="preserve">, </w:t>
      </w:r>
      <w:r w:rsidRPr="00AA6642">
        <w:rPr>
          <w:lang w:val="lv-LV"/>
        </w:rPr>
        <w:t>mājokļa pakalpojumi</w:t>
      </w:r>
      <w:r w:rsidR="008A5DD4" w:rsidRPr="00AA6642">
        <w:rPr>
          <w:lang w:val="lv-LV"/>
        </w:rPr>
        <w:t xml:space="preserve">, </w:t>
      </w:r>
      <w:r w:rsidRPr="00AA6642">
        <w:rPr>
          <w:lang w:val="lv-LV"/>
        </w:rPr>
        <w:t>izglītība</w:t>
      </w:r>
      <w:r w:rsidR="008A5DD4" w:rsidRPr="00AA6642">
        <w:rPr>
          <w:lang w:val="lv-LV"/>
        </w:rPr>
        <w:t>,  …)</w:t>
      </w:r>
    </w:p>
    <w:p w:rsidR="008A5DD4" w:rsidRPr="00AA6642" w:rsidRDefault="00DA324D" w:rsidP="00984EDB">
      <w:pPr>
        <w:pStyle w:val="ListParagraph"/>
        <w:numPr>
          <w:ilvl w:val="0"/>
          <w:numId w:val="10"/>
        </w:numPr>
        <w:rPr>
          <w:lang w:val="lv-LV"/>
        </w:rPr>
      </w:pPr>
      <w:r w:rsidRPr="00AA6642">
        <w:rPr>
          <w:lang w:val="lv-LV"/>
        </w:rPr>
        <w:t>Sociālo pakalpojumu sektors</w:t>
      </w:r>
    </w:p>
    <w:p w:rsidR="008A5DD4" w:rsidRPr="00AA6642" w:rsidRDefault="008A5DD4" w:rsidP="00CF52D5">
      <w:pPr>
        <w:spacing w:after="0"/>
        <w:rPr>
          <w:b/>
          <w:lang w:val="lv-LV"/>
        </w:rPr>
      </w:pPr>
      <w:r w:rsidRPr="00AA6642">
        <w:rPr>
          <w:b/>
          <w:lang w:val="lv-LV"/>
        </w:rPr>
        <w:t xml:space="preserve">Process: </w:t>
      </w:r>
      <w:r w:rsidR="00DA324D" w:rsidRPr="00AA6642">
        <w:rPr>
          <w:b/>
          <w:lang w:val="lv-LV"/>
        </w:rPr>
        <w:t>individuāli pielāgoti pakalpojumi</w:t>
      </w:r>
    </w:p>
    <w:p w:rsidR="008A5DD4" w:rsidRPr="00AA6642" w:rsidRDefault="00DA324D" w:rsidP="00984EDB">
      <w:pPr>
        <w:pStyle w:val="ListParagraph"/>
        <w:numPr>
          <w:ilvl w:val="0"/>
          <w:numId w:val="11"/>
        </w:numPr>
        <w:rPr>
          <w:lang w:val="lv-LV"/>
        </w:rPr>
      </w:pPr>
      <w:r w:rsidRPr="00AA6642">
        <w:rPr>
          <w:lang w:val="lv-LV"/>
        </w:rPr>
        <w:t>Cilvēkiem ar invaliditāti ir individuālas vajadzības</w:t>
      </w:r>
      <w:r w:rsidR="008A5DD4" w:rsidRPr="00AA6642">
        <w:rPr>
          <w:lang w:val="lv-LV"/>
        </w:rPr>
        <w:t xml:space="preserve">. </w:t>
      </w:r>
      <w:r w:rsidRPr="00AA6642">
        <w:rPr>
          <w:lang w:val="lv-LV"/>
        </w:rPr>
        <w:t xml:space="preserve">Tāpēc pakalpojumu sniedzējiem ir jānodrošina individuāli atbalsta pakalpojumi sadarbībā ar citām organizācijām </w:t>
      </w:r>
    </w:p>
    <w:p w:rsidR="00A67EED" w:rsidRPr="00AA6642" w:rsidRDefault="00443049" w:rsidP="009437F1">
      <w:pPr>
        <w:pStyle w:val="Heading2"/>
        <w:rPr>
          <w:lang w:val="lv-LV"/>
        </w:rPr>
      </w:pPr>
      <w:bookmarkStart w:id="23" w:name="_Toc443312609"/>
      <w:bookmarkStart w:id="24" w:name="_Toc444090580"/>
      <w:r w:rsidRPr="00AA6642">
        <w:rPr>
          <w:lang w:val="lv-LV"/>
        </w:rPr>
        <w:t>I</w:t>
      </w:r>
      <w:r w:rsidR="008A5DD4" w:rsidRPr="00AA6642">
        <w:rPr>
          <w:lang w:val="lv-LV"/>
        </w:rPr>
        <w:t>V.1.4</w:t>
      </w:r>
      <w:r w:rsidR="00A67EED" w:rsidRPr="00AA6642">
        <w:rPr>
          <w:lang w:val="lv-LV"/>
        </w:rPr>
        <w:t xml:space="preserve"> </w:t>
      </w:r>
      <w:bookmarkEnd w:id="23"/>
      <w:bookmarkEnd w:id="24"/>
      <w:r w:rsidR="00DA324D" w:rsidRPr="00AA6642">
        <w:rPr>
          <w:lang w:val="lv-LV"/>
        </w:rPr>
        <w:t>Sadarbības jomas</w:t>
      </w:r>
    </w:p>
    <w:p w:rsidR="008A5DD4" w:rsidRPr="00AA6642" w:rsidRDefault="00DA324D" w:rsidP="00984EDB">
      <w:pPr>
        <w:pStyle w:val="ListParagraph"/>
        <w:numPr>
          <w:ilvl w:val="0"/>
          <w:numId w:val="12"/>
        </w:numPr>
        <w:rPr>
          <w:lang w:val="lv-LV"/>
        </w:rPr>
      </w:pPr>
      <w:r w:rsidRPr="00AA6642">
        <w:rPr>
          <w:lang w:val="lv-LV"/>
        </w:rPr>
        <w:t xml:space="preserve">Zināšanu apkopošana un uzglabāšana, lai nodrošinātu tās biedriem (zināšanu pārnese) </w:t>
      </w:r>
    </w:p>
    <w:p w:rsidR="008A5DD4" w:rsidRPr="00AA6642" w:rsidRDefault="00DA324D" w:rsidP="00DA324D">
      <w:pPr>
        <w:pStyle w:val="ListParagraph"/>
        <w:numPr>
          <w:ilvl w:val="0"/>
          <w:numId w:val="12"/>
        </w:numPr>
        <w:rPr>
          <w:lang w:val="lv-LV"/>
        </w:rPr>
      </w:pPr>
      <w:r w:rsidRPr="00AA6642">
        <w:rPr>
          <w:lang w:val="lv-LV"/>
        </w:rPr>
        <w:lastRenderedPageBreak/>
        <w:t>Kļūstot par sociālo pakalpojumu nozares politisko pārstāvi (lobēšanas darbs), apspriest tiesisko regulējumu, finansēšanas sistēmu, darbinieku izglītošanu un apmācību, sabiedriskās attiecības un vairot izpratni sabiedrībā, ...</w:t>
      </w:r>
    </w:p>
    <w:p w:rsidR="008A5DD4" w:rsidRPr="00AA6642" w:rsidRDefault="00443049" w:rsidP="009437F1">
      <w:pPr>
        <w:pStyle w:val="Heading2"/>
        <w:rPr>
          <w:lang w:val="lv-LV"/>
        </w:rPr>
      </w:pPr>
      <w:bookmarkStart w:id="25" w:name="_Toc443312610"/>
      <w:bookmarkStart w:id="26" w:name="_Toc444090581"/>
      <w:r w:rsidRPr="00AA6642">
        <w:rPr>
          <w:lang w:val="lv-LV"/>
        </w:rPr>
        <w:t>I</w:t>
      </w:r>
      <w:r w:rsidR="008A5DD4" w:rsidRPr="00AA6642">
        <w:rPr>
          <w:lang w:val="lv-LV"/>
        </w:rPr>
        <w:t xml:space="preserve">V.1.5 </w:t>
      </w:r>
      <w:bookmarkEnd w:id="25"/>
      <w:bookmarkEnd w:id="26"/>
      <w:r w:rsidR="00B9309A" w:rsidRPr="00AA6642">
        <w:rPr>
          <w:lang w:val="lv-LV"/>
        </w:rPr>
        <w:t>Veiksmīgas sadarbības pamatfaktori</w:t>
      </w:r>
    </w:p>
    <w:p w:rsidR="008A5DD4" w:rsidRPr="00AA6642" w:rsidRDefault="00B9309A" w:rsidP="00984EDB">
      <w:pPr>
        <w:pStyle w:val="ListParagraph"/>
        <w:numPr>
          <w:ilvl w:val="0"/>
          <w:numId w:val="13"/>
        </w:numPr>
        <w:rPr>
          <w:lang w:val="lv-LV"/>
        </w:rPr>
      </w:pPr>
      <w:r w:rsidRPr="00AA6642">
        <w:rPr>
          <w:lang w:val="lv-LV"/>
        </w:rPr>
        <w:t>Vadības prasmes</w:t>
      </w:r>
      <w:r w:rsidR="008A5DD4" w:rsidRPr="00AA6642">
        <w:rPr>
          <w:lang w:val="lv-LV"/>
        </w:rPr>
        <w:t xml:space="preserve"> </w:t>
      </w:r>
    </w:p>
    <w:p w:rsidR="008A5DD4" w:rsidRPr="00AA6642" w:rsidRDefault="00B9309A" w:rsidP="00984EDB">
      <w:pPr>
        <w:pStyle w:val="ListParagraph"/>
        <w:numPr>
          <w:ilvl w:val="0"/>
          <w:numId w:val="13"/>
        </w:numPr>
        <w:rPr>
          <w:lang w:val="lv-LV"/>
        </w:rPr>
      </w:pPr>
      <w:r w:rsidRPr="00AA6642">
        <w:rPr>
          <w:lang w:val="lv-LV"/>
        </w:rPr>
        <w:t>Politiskais klimats</w:t>
      </w:r>
    </w:p>
    <w:p w:rsidR="008A5DD4" w:rsidRPr="00AA6642" w:rsidRDefault="00B9309A" w:rsidP="00984EDB">
      <w:pPr>
        <w:pStyle w:val="ListParagraph"/>
        <w:numPr>
          <w:ilvl w:val="0"/>
          <w:numId w:val="13"/>
        </w:numPr>
        <w:rPr>
          <w:lang w:val="lv-LV"/>
        </w:rPr>
      </w:pPr>
      <w:r w:rsidRPr="00AA6642">
        <w:rPr>
          <w:lang w:val="lv-LV"/>
        </w:rPr>
        <w:t>Kopīga izpratne starp iesaistītajām pusēm</w:t>
      </w:r>
    </w:p>
    <w:p w:rsidR="008A5DD4" w:rsidRPr="00AA6642" w:rsidRDefault="00B9309A" w:rsidP="00984EDB">
      <w:pPr>
        <w:pStyle w:val="ListParagraph"/>
        <w:numPr>
          <w:ilvl w:val="0"/>
          <w:numId w:val="13"/>
        </w:numPr>
        <w:rPr>
          <w:lang w:val="lv-LV"/>
        </w:rPr>
      </w:pPr>
      <w:r w:rsidRPr="00AA6642">
        <w:rPr>
          <w:lang w:val="lv-LV"/>
        </w:rPr>
        <w:t>Komunikācija</w:t>
      </w:r>
      <w:r w:rsidR="008A5DD4" w:rsidRPr="00AA6642">
        <w:rPr>
          <w:lang w:val="lv-LV"/>
        </w:rPr>
        <w:t xml:space="preserve"> (</w:t>
      </w:r>
      <w:r w:rsidRPr="00AA6642">
        <w:rPr>
          <w:lang w:val="lv-LV"/>
        </w:rPr>
        <w:t>iekšējā un ārējā</w:t>
      </w:r>
      <w:r w:rsidR="008A5DD4" w:rsidRPr="00AA6642">
        <w:rPr>
          <w:lang w:val="lv-LV"/>
        </w:rPr>
        <w:t xml:space="preserve">) </w:t>
      </w:r>
      <w:r w:rsidRPr="00AA6642">
        <w:rPr>
          <w:lang w:val="lv-LV"/>
        </w:rPr>
        <w:t>–</w:t>
      </w:r>
      <w:r w:rsidR="008A5DD4" w:rsidRPr="00AA6642">
        <w:rPr>
          <w:lang w:val="lv-LV"/>
        </w:rPr>
        <w:t xml:space="preserve"> </w:t>
      </w:r>
      <w:r w:rsidRPr="00AA6642">
        <w:rPr>
          <w:lang w:val="lv-LV"/>
        </w:rPr>
        <w:t>zināšanu pārnese</w:t>
      </w:r>
    </w:p>
    <w:p w:rsidR="008A5DD4" w:rsidRPr="00AA6642" w:rsidRDefault="00B9309A" w:rsidP="00984EDB">
      <w:pPr>
        <w:pStyle w:val="ListParagraph"/>
        <w:numPr>
          <w:ilvl w:val="0"/>
          <w:numId w:val="13"/>
        </w:numPr>
        <w:rPr>
          <w:lang w:val="lv-LV"/>
        </w:rPr>
      </w:pPr>
      <w:r w:rsidRPr="00AA6642">
        <w:rPr>
          <w:lang w:val="lv-LV"/>
        </w:rPr>
        <w:t>Ilgtspēja</w:t>
      </w:r>
    </w:p>
    <w:p w:rsidR="008A5DD4" w:rsidRPr="00AA6642" w:rsidRDefault="008A5DD4" w:rsidP="00984EDB">
      <w:pPr>
        <w:pStyle w:val="ListParagraph"/>
        <w:numPr>
          <w:ilvl w:val="0"/>
          <w:numId w:val="13"/>
        </w:numPr>
        <w:rPr>
          <w:lang w:val="lv-LV"/>
        </w:rPr>
      </w:pPr>
      <w:r w:rsidRPr="00AA6642">
        <w:rPr>
          <w:lang w:val="lv-LV"/>
        </w:rPr>
        <w:t>Res</w:t>
      </w:r>
      <w:r w:rsidR="00B9309A" w:rsidRPr="00AA6642">
        <w:rPr>
          <w:lang w:val="lv-LV"/>
        </w:rPr>
        <w:t>ursi</w:t>
      </w:r>
    </w:p>
    <w:p w:rsidR="008A5DD4" w:rsidRPr="00AA6642" w:rsidRDefault="00B9309A" w:rsidP="00984EDB">
      <w:pPr>
        <w:pStyle w:val="ListParagraph"/>
        <w:numPr>
          <w:ilvl w:val="0"/>
          <w:numId w:val="13"/>
        </w:numPr>
        <w:rPr>
          <w:lang w:val="lv-LV"/>
        </w:rPr>
      </w:pPr>
      <w:r w:rsidRPr="00AA6642">
        <w:rPr>
          <w:lang w:val="lv-LV"/>
        </w:rPr>
        <w:t>Līdzdalība</w:t>
      </w:r>
    </w:p>
    <w:p w:rsidR="008A5DD4" w:rsidRPr="00AA6642" w:rsidRDefault="00B9309A" w:rsidP="00984EDB">
      <w:pPr>
        <w:pStyle w:val="ListParagraph"/>
        <w:numPr>
          <w:ilvl w:val="0"/>
          <w:numId w:val="13"/>
        </w:numPr>
        <w:rPr>
          <w:lang w:val="lv-LV"/>
        </w:rPr>
      </w:pPr>
      <w:r w:rsidRPr="00AA6642">
        <w:rPr>
          <w:lang w:val="lv-LV"/>
        </w:rPr>
        <w:t xml:space="preserve">Sadarbības izvērtēšana, </w:t>
      </w:r>
      <w:r w:rsidR="008A5DD4" w:rsidRPr="00AA6642">
        <w:rPr>
          <w:lang w:val="lv-LV"/>
        </w:rPr>
        <w:t>monitoring</w:t>
      </w:r>
      <w:r w:rsidRPr="00AA6642">
        <w:rPr>
          <w:lang w:val="lv-LV"/>
        </w:rPr>
        <w:t>s un patstāvī</w:t>
      </w:r>
      <w:r w:rsidR="00DC3A41" w:rsidRPr="00AA6642">
        <w:rPr>
          <w:lang w:val="lv-LV"/>
        </w:rPr>
        <w:t>ga uzlabošana un veiksmīgas sad</w:t>
      </w:r>
      <w:r w:rsidRPr="00AA6642">
        <w:rPr>
          <w:lang w:val="lv-LV"/>
        </w:rPr>
        <w:t xml:space="preserve">arbības vēsture </w:t>
      </w:r>
      <w:r w:rsidR="008A5DD4" w:rsidRPr="00AA6642">
        <w:rPr>
          <w:lang w:val="lv-LV"/>
        </w:rPr>
        <w:t xml:space="preserve"> </w:t>
      </w:r>
    </w:p>
    <w:p w:rsidR="008A5DD4" w:rsidRPr="00AA6642" w:rsidRDefault="00B9309A" w:rsidP="00E711EC">
      <w:pPr>
        <w:spacing w:after="0"/>
        <w:rPr>
          <w:b/>
          <w:lang w:val="lv-LV"/>
        </w:rPr>
      </w:pPr>
      <w:r w:rsidRPr="00AA6642">
        <w:rPr>
          <w:b/>
          <w:lang w:val="lv-LV"/>
        </w:rPr>
        <w:t>Vadības prasmes</w:t>
      </w:r>
    </w:p>
    <w:p w:rsidR="00B9309A" w:rsidRPr="00AA6642" w:rsidRDefault="00B9309A" w:rsidP="00936B86">
      <w:pPr>
        <w:rPr>
          <w:lang w:val="lv-LV"/>
        </w:rPr>
      </w:pPr>
      <w:r w:rsidRPr="00AA6642">
        <w:rPr>
          <w:lang w:val="lv-LV"/>
        </w:rPr>
        <w:t>Ir nepieciešami vadītāji, kuri atbalsta, veicina un uztur sadarbību; viņi ir apņēmušies īstenot kopīgus mērķus un vienojušies par kopīgām vērtībām; viņi ciena daudzveidību un spēcina individuālo, grupu un organizāciju stiprās puses. Viņi fokusējas uz sadarbību. Īpaša loma ir viens no katalizatoriem - tie ir tie, kas pastiprina (vai sākt) sadarbību, kā problēmas esamības rezultātu.</w:t>
      </w:r>
    </w:p>
    <w:p w:rsidR="0002431B" w:rsidRPr="00AA6642" w:rsidRDefault="0002431B" w:rsidP="00E711EC">
      <w:pPr>
        <w:spacing w:after="0"/>
        <w:rPr>
          <w:b/>
          <w:lang w:val="lv-LV"/>
        </w:rPr>
      </w:pPr>
      <w:r w:rsidRPr="00AA6642">
        <w:rPr>
          <w:b/>
          <w:lang w:val="lv-LV"/>
        </w:rPr>
        <w:t>Politi</w:t>
      </w:r>
      <w:r w:rsidR="00B9309A" w:rsidRPr="00AA6642">
        <w:rPr>
          <w:b/>
          <w:lang w:val="lv-LV"/>
        </w:rPr>
        <w:t>skais klimats</w:t>
      </w:r>
    </w:p>
    <w:p w:rsidR="00B9309A" w:rsidRPr="00AA6642" w:rsidRDefault="004450A6" w:rsidP="00936B86">
      <w:pPr>
        <w:rPr>
          <w:lang w:val="lv-LV"/>
        </w:rPr>
      </w:pPr>
      <w:r w:rsidRPr="00AA6642">
        <w:rPr>
          <w:lang w:val="lv-LV"/>
        </w:rPr>
        <w:t>Ir pozitīva vide, kā arī</w:t>
      </w:r>
      <w:r w:rsidR="00B9309A" w:rsidRPr="00AA6642">
        <w:rPr>
          <w:lang w:val="lv-LV"/>
        </w:rPr>
        <w:t xml:space="preserve"> </w:t>
      </w:r>
      <w:r w:rsidRPr="00AA6642">
        <w:rPr>
          <w:lang w:val="lv-LV"/>
        </w:rPr>
        <w:t>varas un lēmumu pieņemšanas vēsture, kas uzsver katras ieinteresētās</w:t>
      </w:r>
      <w:r w:rsidR="00B9309A" w:rsidRPr="00AA6642">
        <w:rPr>
          <w:lang w:val="lv-LV"/>
        </w:rPr>
        <w:t xml:space="preserve"> p</w:t>
      </w:r>
      <w:r w:rsidRPr="00AA6642">
        <w:rPr>
          <w:lang w:val="lv-LV"/>
        </w:rPr>
        <w:t>uses lomas nozīmību. Vienlīdz svarīga ir</w:t>
      </w:r>
      <w:r w:rsidR="00B9309A" w:rsidRPr="00AA6642">
        <w:rPr>
          <w:lang w:val="lv-LV"/>
        </w:rPr>
        <w:t xml:space="preserve"> polit</w:t>
      </w:r>
      <w:r w:rsidRPr="00AA6642">
        <w:rPr>
          <w:lang w:val="lv-LV"/>
        </w:rPr>
        <w:t>ikas / likumu</w:t>
      </w:r>
      <w:r w:rsidR="00B9309A" w:rsidRPr="00AA6642">
        <w:rPr>
          <w:lang w:val="lv-LV"/>
        </w:rPr>
        <w:t xml:space="preserve"> / noteikum</w:t>
      </w:r>
      <w:r w:rsidR="00475AFA" w:rsidRPr="00AA6642">
        <w:rPr>
          <w:lang w:val="lv-LV"/>
        </w:rPr>
        <w:t>u eksistence, kas var s</w:t>
      </w:r>
      <w:r w:rsidRPr="00AA6642">
        <w:rPr>
          <w:lang w:val="lv-LV"/>
        </w:rPr>
        <w:t>tiprināt</w:t>
      </w:r>
      <w:r w:rsidR="00B9309A" w:rsidRPr="00AA6642">
        <w:rPr>
          <w:lang w:val="lv-LV"/>
        </w:rPr>
        <w:t xml:space="preserve"> un precizēt sadarbības </w:t>
      </w:r>
      <w:r w:rsidRPr="00AA6642">
        <w:rPr>
          <w:lang w:val="lv-LV"/>
        </w:rPr>
        <w:t>līdzekļus</w:t>
      </w:r>
      <w:r w:rsidR="00475AFA" w:rsidRPr="00AA6642">
        <w:rPr>
          <w:lang w:val="lv-LV"/>
        </w:rPr>
        <w:t>. Ja to</w:t>
      </w:r>
      <w:r w:rsidR="00B9309A" w:rsidRPr="00AA6642">
        <w:rPr>
          <w:lang w:val="lv-LV"/>
        </w:rPr>
        <w:t xml:space="preserve"> nav, to izveide ir prioritāte invaliditātes jomā.</w:t>
      </w:r>
    </w:p>
    <w:p w:rsidR="0002431B" w:rsidRPr="00AA6642" w:rsidRDefault="00475AFA" w:rsidP="00E711EC">
      <w:pPr>
        <w:spacing w:after="0"/>
        <w:rPr>
          <w:b/>
          <w:lang w:val="lv-LV"/>
        </w:rPr>
      </w:pPr>
      <w:r w:rsidRPr="00AA6642">
        <w:rPr>
          <w:b/>
          <w:lang w:val="lv-LV"/>
        </w:rPr>
        <w:t>Kopīga izpratne starp iesaistītajam pusēm</w:t>
      </w:r>
    </w:p>
    <w:p w:rsidR="0002431B" w:rsidRPr="00AA6642" w:rsidRDefault="00475AFA" w:rsidP="00936B86">
      <w:pPr>
        <w:rPr>
          <w:lang w:val="lv-LV"/>
        </w:rPr>
      </w:pPr>
      <w:r w:rsidRPr="00AA6642">
        <w:rPr>
          <w:lang w:val="lv-LV"/>
        </w:rPr>
        <w:t>Izpratne par iesaistīto pušu dažādām interesēm un specifiku, kultūru, vērtībām un paradumiem</w:t>
      </w:r>
    </w:p>
    <w:p w:rsidR="00475AFA" w:rsidRPr="00AA6642" w:rsidRDefault="00475AFA" w:rsidP="00475AFA">
      <w:pPr>
        <w:spacing w:after="0"/>
        <w:rPr>
          <w:b/>
          <w:lang w:val="lv-LV"/>
        </w:rPr>
      </w:pPr>
      <w:r w:rsidRPr="00AA6642">
        <w:rPr>
          <w:b/>
          <w:lang w:val="lv-LV"/>
        </w:rPr>
        <w:t>Komunikācija</w:t>
      </w:r>
    </w:p>
    <w:p w:rsidR="0002431B" w:rsidRPr="00AA6642" w:rsidRDefault="00475AFA" w:rsidP="00475AFA">
      <w:pPr>
        <w:spacing w:after="0"/>
        <w:rPr>
          <w:b/>
          <w:lang w:val="lv-LV"/>
        </w:rPr>
      </w:pPr>
      <w:r w:rsidRPr="00AA6642">
        <w:rPr>
          <w:lang w:val="lv-LV"/>
        </w:rPr>
        <w:t>Skaidra un atklāta, ar noteiktajām procedūrām un skaidriem lēmumu pieņemšanas un informācijas apmaiņas posmiem.</w:t>
      </w:r>
    </w:p>
    <w:p w:rsidR="00443049" w:rsidRPr="00AA6642" w:rsidRDefault="00443049">
      <w:pPr>
        <w:suppressAutoHyphens w:val="0"/>
        <w:rPr>
          <w:b/>
          <w:lang w:val="lv-LV"/>
        </w:rPr>
      </w:pPr>
      <w:r w:rsidRPr="00AA6642">
        <w:rPr>
          <w:b/>
          <w:lang w:val="lv-LV"/>
        </w:rPr>
        <w:br w:type="page"/>
      </w:r>
    </w:p>
    <w:p w:rsidR="0002431B" w:rsidRPr="00AA6642" w:rsidRDefault="00475AFA" w:rsidP="00E711EC">
      <w:pPr>
        <w:spacing w:after="0"/>
        <w:rPr>
          <w:b/>
          <w:lang w:val="lv-LV"/>
        </w:rPr>
      </w:pPr>
      <w:r w:rsidRPr="00AA6642">
        <w:rPr>
          <w:b/>
          <w:lang w:val="lv-LV"/>
        </w:rPr>
        <w:lastRenderedPageBreak/>
        <w:t>Ilgtspēja</w:t>
      </w:r>
    </w:p>
    <w:p w:rsidR="00475AFA" w:rsidRPr="00AA6642" w:rsidRDefault="00475AFA" w:rsidP="00936B86">
      <w:pPr>
        <w:rPr>
          <w:lang w:val="lv-LV"/>
        </w:rPr>
      </w:pPr>
      <w:r w:rsidRPr="00AA6642">
        <w:rPr>
          <w:lang w:val="lv-LV"/>
        </w:rPr>
        <w:t>Ir plāns, lai saglabātu dalību un resursus projektu īstenošanas laikā, tostarp pamatnostādnes par locekļu aizstāšanu dažādu sadarbības organizāciju ietvaros un dažādās ieinteresēto pušu aģentūrās.</w:t>
      </w:r>
    </w:p>
    <w:p w:rsidR="0002431B" w:rsidRPr="00AA6642" w:rsidRDefault="0002431B" w:rsidP="00E711EC">
      <w:pPr>
        <w:spacing w:after="0"/>
        <w:rPr>
          <w:b/>
          <w:lang w:val="lv-LV"/>
        </w:rPr>
      </w:pPr>
      <w:r w:rsidRPr="00AA6642">
        <w:rPr>
          <w:b/>
          <w:lang w:val="lv-LV"/>
        </w:rPr>
        <w:t>Res</w:t>
      </w:r>
      <w:r w:rsidR="00475AFA" w:rsidRPr="00AA6642">
        <w:rPr>
          <w:b/>
          <w:lang w:val="lv-LV"/>
        </w:rPr>
        <w:t>ursi</w:t>
      </w:r>
    </w:p>
    <w:p w:rsidR="00475AFA" w:rsidRPr="00AA6642" w:rsidRDefault="00DC3A41" w:rsidP="00936B86">
      <w:pPr>
        <w:rPr>
          <w:lang w:val="lv-LV"/>
        </w:rPr>
      </w:pPr>
      <w:r w:rsidRPr="00AA6642">
        <w:rPr>
          <w:lang w:val="lv-LV"/>
        </w:rPr>
        <w:t>Veiksmīgai sadarbībai starp dalībniekiem ir nepieciešami resursi</w:t>
      </w:r>
      <w:r w:rsidR="00475AFA" w:rsidRPr="00AA6642">
        <w:rPr>
          <w:lang w:val="lv-LV"/>
        </w:rPr>
        <w:t xml:space="preserve"> (dalībnieku</w:t>
      </w:r>
      <w:r w:rsidRPr="00AA6642">
        <w:rPr>
          <w:lang w:val="lv-LV"/>
        </w:rPr>
        <w:t xml:space="preserve"> laiks, kā arī resursi</w:t>
      </w:r>
      <w:r w:rsidR="00475AFA" w:rsidRPr="00AA6642">
        <w:rPr>
          <w:lang w:val="lv-LV"/>
        </w:rPr>
        <w:t xml:space="preserve"> komuni</w:t>
      </w:r>
      <w:r w:rsidRPr="00AA6642">
        <w:rPr>
          <w:lang w:val="lv-LV"/>
        </w:rPr>
        <w:t>kācijai un kopīgai lēmumu pieņemšanai, informācijas</w:t>
      </w:r>
      <w:r w:rsidR="00475AFA" w:rsidRPr="00AA6642">
        <w:rPr>
          <w:lang w:val="lv-LV"/>
        </w:rPr>
        <w:t xml:space="preserve"> un rīku</w:t>
      </w:r>
      <w:r w:rsidRPr="00AA6642">
        <w:rPr>
          <w:lang w:val="lv-LV"/>
        </w:rPr>
        <w:t xml:space="preserve"> apmaiņai</w:t>
      </w:r>
      <w:r w:rsidR="00475AFA" w:rsidRPr="00AA6642">
        <w:rPr>
          <w:lang w:val="lv-LV"/>
        </w:rPr>
        <w:t>, u</w:t>
      </w:r>
      <w:r w:rsidRPr="00AA6642">
        <w:rPr>
          <w:lang w:val="lv-LV"/>
        </w:rPr>
        <w:t>.</w:t>
      </w:r>
      <w:r w:rsidR="00475AFA" w:rsidRPr="00AA6642">
        <w:rPr>
          <w:lang w:val="lv-LV"/>
        </w:rPr>
        <w:t>c</w:t>
      </w:r>
      <w:r w:rsidRPr="00AA6642">
        <w:rPr>
          <w:lang w:val="lv-LV"/>
        </w:rPr>
        <w:t>.</w:t>
      </w:r>
      <w:r w:rsidR="00475AFA" w:rsidRPr="00AA6642">
        <w:rPr>
          <w:lang w:val="lv-LV"/>
        </w:rPr>
        <w:t>).</w:t>
      </w:r>
    </w:p>
    <w:p w:rsidR="0002431B" w:rsidRPr="00AA6642" w:rsidRDefault="00DC3A41" w:rsidP="00E711EC">
      <w:pPr>
        <w:spacing w:after="0"/>
        <w:rPr>
          <w:b/>
          <w:lang w:val="lv-LV"/>
        </w:rPr>
      </w:pPr>
      <w:r w:rsidRPr="00AA6642">
        <w:rPr>
          <w:b/>
          <w:lang w:val="lv-LV"/>
        </w:rPr>
        <w:t>Līdzdalība</w:t>
      </w:r>
    </w:p>
    <w:p w:rsidR="00DC3A41" w:rsidRPr="00AA6642" w:rsidRDefault="00DC3A41" w:rsidP="00936B86">
      <w:pPr>
        <w:rPr>
          <w:lang w:val="lv-LV"/>
        </w:rPr>
      </w:pPr>
      <w:r w:rsidRPr="00AA6642">
        <w:rPr>
          <w:lang w:val="lv-LV"/>
        </w:rPr>
        <w:t>Dalībniekiem ir jābūt pro-aktīviem un jāpiedalās sadarbības procesā. Grupas ietvaros vienmēr ir redzami dažādi līdzdalības modeļi, un šie modeļi (vai profili) ir ātri jāatpazīst un jāizmanto vislabākajā iespējamā virzienā procesu vai grupu darba kopējām interesēm.</w:t>
      </w:r>
    </w:p>
    <w:p w:rsidR="0002431B" w:rsidRPr="00AA6642" w:rsidRDefault="00DC3A41" w:rsidP="00E711EC">
      <w:pPr>
        <w:spacing w:after="0"/>
        <w:rPr>
          <w:b/>
          <w:lang w:val="lv-LV"/>
        </w:rPr>
      </w:pPr>
      <w:r w:rsidRPr="00AA6642">
        <w:rPr>
          <w:b/>
          <w:lang w:val="lv-LV"/>
        </w:rPr>
        <w:t xml:space="preserve">Sadarbības izvērtēšana, monitorings un patstāvīga uzlabošana </w:t>
      </w:r>
    </w:p>
    <w:p w:rsidR="00DC3A41" w:rsidRPr="00AA6642" w:rsidRDefault="00DC3A41" w:rsidP="00936B86">
      <w:pPr>
        <w:rPr>
          <w:lang w:val="lv-LV"/>
        </w:rPr>
      </w:pPr>
      <w:r w:rsidRPr="00AA6642">
        <w:rPr>
          <w:lang w:val="lv-LV"/>
        </w:rPr>
        <w:t>Vajadzību novērtējums ir veikts, mērķi ir skaidri, un ir veikti pasākumi, lai</w:t>
      </w:r>
      <w:r w:rsidR="0034101B" w:rsidRPr="00AA6642">
        <w:rPr>
          <w:lang w:val="lv-LV"/>
        </w:rPr>
        <w:t xml:space="preserve"> savāktu informāciju un izvērtētu</w:t>
      </w:r>
      <w:r w:rsidRPr="00AA6642">
        <w:rPr>
          <w:lang w:val="lv-LV"/>
        </w:rPr>
        <w:t xml:space="preserve"> šos mērķus.</w:t>
      </w:r>
    </w:p>
    <w:p w:rsidR="0002431B" w:rsidRPr="00AA6642" w:rsidRDefault="00DC3A41" w:rsidP="00E711EC">
      <w:pPr>
        <w:spacing w:after="0"/>
        <w:rPr>
          <w:b/>
          <w:lang w:val="lv-LV"/>
        </w:rPr>
      </w:pPr>
      <w:r w:rsidRPr="00AA6642">
        <w:rPr>
          <w:b/>
          <w:lang w:val="lv-LV"/>
        </w:rPr>
        <w:t>Veiksmīgas sadarbības vēsture</w:t>
      </w:r>
    </w:p>
    <w:p w:rsidR="0034101B" w:rsidRPr="00AA6642" w:rsidRDefault="0034101B" w:rsidP="00936B86">
      <w:pPr>
        <w:rPr>
          <w:lang w:val="lv-LV"/>
        </w:rPr>
      </w:pPr>
      <w:r w:rsidRPr="00AA6642">
        <w:rPr>
          <w:lang w:val="lv-LV"/>
        </w:rPr>
        <w:t>Panākumi un labas prakses piemēri vienmēr motivē kopīgam darbam. Tā popularizēšana un izplatīšana varētu stimulēt t</w:t>
      </w:r>
      <w:r w:rsidR="00A43F74" w:rsidRPr="00AA6642">
        <w:rPr>
          <w:lang w:val="lv-LV"/>
        </w:rPr>
        <w:t>urpmāku sadarbību, kā arī dot ieskatu gūtās mācības un nepieciešamajos uzlabojumos</w:t>
      </w:r>
      <w:r w:rsidRPr="00AA6642">
        <w:rPr>
          <w:lang w:val="lv-LV"/>
        </w:rPr>
        <w:t>.</w:t>
      </w:r>
    </w:p>
    <w:p w:rsidR="003324F4" w:rsidRPr="00AA6642" w:rsidRDefault="003324F4" w:rsidP="003324F4">
      <w:pPr>
        <w:pStyle w:val="ListParagraph"/>
        <w:numPr>
          <w:ilvl w:val="0"/>
          <w:numId w:val="14"/>
        </w:numPr>
        <w:rPr>
          <w:lang w:val="lv-LV"/>
        </w:rPr>
      </w:pPr>
      <w:r w:rsidRPr="00AA6642">
        <w:rPr>
          <w:lang w:val="lv-LV"/>
        </w:rPr>
        <w:t>Izmantojot iepriekš aprakstītos faktorus var mazināt sadrumstalotību dažādās interešu grupās un varētu atbalstīt pāreju no debatēm uz  dialogu. Tas arī palīdz  izprast  jautājumus un problēmas holistiskā veidā.</w:t>
      </w:r>
    </w:p>
    <w:p w:rsidR="0002431B" w:rsidRPr="00AA6642" w:rsidRDefault="00443049" w:rsidP="009437F1">
      <w:pPr>
        <w:pStyle w:val="Heading2"/>
        <w:rPr>
          <w:lang w:val="lv-LV"/>
        </w:rPr>
      </w:pPr>
      <w:bookmarkStart w:id="27" w:name="_Toc443312611"/>
      <w:bookmarkStart w:id="28" w:name="_Toc444090582"/>
      <w:r w:rsidRPr="00AA6642">
        <w:rPr>
          <w:lang w:val="lv-LV"/>
        </w:rPr>
        <w:t>I</w:t>
      </w:r>
      <w:r w:rsidR="00AD4EB1" w:rsidRPr="00AA6642">
        <w:rPr>
          <w:lang w:val="lv-LV"/>
        </w:rPr>
        <w:t xml:space="preserve">V.1.6 </w:t>
      </w:r>
      <w:bookmarkEnd w:id="27"/>
      <w:bookmarkEnd w:id="28"/>
      <w:r w:rsidR="001D6AE6" w:rsidRPr="00AA6642">
        <w:rPr>
          <w:lang w:val="lv-LV"/>
        </w:rPr>
        <w:t>V</w:t>
      </w:r>
      <w:r w:rsidR="003324F4" w:rsidRPr="00AA6642">
        <w:rPr>
          <w:lang w:val="lv-LV"/>
        </w:rPr>
        <w:t>eiksmīga sadarbības procesa svarīgākie faktori</w:t>
      </w:r>
    </w:p>
    <w:p w:rsidR="003324F4" w:rsidRPr="00AA6642" w:rsidRDefault="003324F4" w:rsidP="00936B86">
      <w:pPr>
        <w:rPr>
          <w:b/>
          <w:lang w:val="lv-LV"/>
        </w:rPr>
      </w:pPr>
    </w:p>
    <w:p w:rsidR="0002431B" w:rsidRPr="00AA6642" w:rsidRDefault="003324F4" w:rsidP="00936B86">
      <w:pPr>
        <w:rPr>
          <w:b/>
          <w:lang w:val="lv-LV"/>
        </w:rPr>
      </w:pPr>
      <w:r w:rsidRPr="00AA6642">
        <w:rPr>
          <w:b/>
          <w:lang w:val="lv-LV"/>
        </w:rPr>
        <w:t>Veiksmīga sadarbība nozīmē kopīgu vienošanos par darbību</w:t>
      </w:r>
      <w:r w:rsidR="0002431B" w:rsidRPr="00AA6642">
        <w:rPr>
          <w:b/>
          <w:lang w:val="lv-LV"/>
        </w:rPr>
        <w:t xml:space="preserve">. </w:t>
      </w:r>
    </w:p>
    <w:p w:rsidR="0002431B" w:rsidRPr="00AA6642" w:rsidRDefault="003324F4" w:rsidP="00936B86">
      <w:pPr>
        <w:rPr>
          <w:lang w:val="lv-LV"/>
        </w:rPr>
      </w:pPr>
      <w:r w:rsidRPr="00AA6642">
        <w:rPr>
          <w:lang w:val="lv-LV"/>
        </w:rPr>
        <w:t>Trīs galvenie vienošanās virzieni</w:t>
      </w:r>
      <w:r w:rsidR="0002431B" w:rsidRPr="00AA6642">
        <w:rPr>
          <w:lang w:val="lv-LV"/>
        </w:rPr>
        <w:t>:</w:t>
      </w:r>
    </w:p>
    <w:p w:rsidR="0002431B" w:rsidRPr="00AA6642" w:rsidRDefault="003324F4" w:rsidP="00984EDB">
      <w:pPr>
        <w:pStyle w:val="ListParagraph"/>
        <w:numPr>
          <w:ilvl w:val="0"/>
          <w:numId w:val="15"/>
        </w:numPr>
        <w:rPr>
          <w:lang w:val="lv-LV"/>
        </w:rPr>
      </w:pPr>
      <w:r w:rsidRPr="00AA6642">
        <w:rPr>
          <w:lang w:val="lv-LV"/>
        </w:rPr>
        <w:t>Mērķi</w:t>
      </w:r>
      <w:r w:rsidR="0002431B" w:rsidRPr="00AA6642">
        <w:rPr>
          <w:lang w:val="lv-LV"/>
        </w:rPr>
        <w:t xml:space="preserve">: </w:t>
      </w:r>
      <w:r w:rsidR="0002431B" w:rsidRPr="00AA6642">
        <w:rPr>
          <w:lang w:val="lv-LV"/>
        </w:rPr>
        <w:tab/>
      </w:r>
      <w:r w:rsidRPr="00AA6642">
        <w:rPr>
          <w:lang w:val="lv-LV"/>
        </w:rPr>
        <w:t xml:space="preserve">vienošanās par kopīgiem </w:t>
      </w:r>
      <w:r w:rsidR="00AA6642" w:rsidRPr="00AA6642">
        <w:rPr>
          <w:lang w:val="lv-LV"/>
        </w:rPr>
        <w:t>īstermiņa</w:t>
      </w:r>
      <w:r w:rsidRPr="00AA6642">
        <w:rPr>
          <w:lang w:val="lv-LV"/>
        </w:rPr>
        <w:t xml:space="preserve">, vidēja termiņa un ilgtermiņa mērķiem </w:t>
      </w:r>
    </w:p>
    <w:p w:rsidR="0002431B" w:rsidRPr="00AA6642" w:rsidRDefault="003324F4" w:rsidP="00984EDB">
      <w:pPr>
        <w:pStyle w:val="ListParagraph"/>
        <w:numPr>
          <w:ilvl w:val="0"/>
          <w:numId w:val="15"/>
        </w:numPr>
        <w:rPr>
          <w:lang w:val="lv-LV"/>
        </w:rPr>
      </w:pPr>
      <w:r w:rsidRPr="00AA6642">
        <w:rPr>
          <w:lang w:val="lv-LV"/>
        </w:rPr>
        <w:t>Plānošana</w:t>
      </w:r>
      <w:r w:rsidR="0002431B" w:rsidRPr="00AA6642">
        <w:rPr>
          <w:lang w:val="lv-LV"/>
        </w:rPr>
        <w:t xml:space="preserve">: </w:t>
      </w:r>
      <w:r w:rsidRPr="00AA6642">
        <w:rPr>
          <w:lang w:val="lv-LV"/>
        </w:rPr>
        <w:t>plānu saskaņošana</w:t>
      </w:r>
      <w:r w:rsidR="0002431B" w:rsidRPr="00AA6642">
        <w:rPr>
          <w:lang w:val="lv-LV"/>
        </w:rPr>
        <w:t xml:space="preserve"> </w:t>
      </w:r>
      <w:r w:rsidRPr="00AA6642">
        <w:rPr>
          <w:lang w:val="lv-LV"/>
        </w:rPr>
        <w:t>–</w:t>
      </w:r>
      <w:r w:rsidR="0002431B" w:rsidRPr="00AA6642">
        <w:rPr>
          <w:lang w:val="lv-LV"/>
        </w:rPr>
        <w:t xml:space="preserve"> </w:t>
      </w:r>
      <w:r w:rsidRPr="00AA6642">
        <w:rPr>
          <w:lang w:val="lv-LV"/>
        </w:rPr>
        <w:t>kā sasniegt mērķus</w:t>
      </w:r>
    </w:p>
    <w:p w:rsidR="0002431B" w:rsidRPr="00AA6642" w:rsidRDefault="003324F4" w:rsidP="00984EDB">
      <w:pPr>
        <w:pStyle w:val="ListParagraph"/>
        <w:numPr>
          <w:ilvl w:val="0"/>
          <w:numId w:val="15"/>
        </w:numPr>
        <w:rPr>
          <w:lang w:val="lv-LV"/>
        </w:rPr>
      </w:pPr>
      <w:r w:rsidRPr="00AA6642">
        <w:rPr>
          <w:lang w:val="lv-LV"/>
        </w:rPr>
        <w:t>Vērtību orientācija</w:t>
      </w:r>
      <w:r w:rsidR="0002431B" w:rsidRPr="00AA6642">
        <w:rPr>
          <w:lang w:val="lv-LV"/>
        </w:rPr>
        <w:t xml:space="preserve">: </w:t>
      </w:r>
      <w:r w:rsidRPr="00AA6642">
        <w:rPr>
          <w:lang w:val="lv-LV"/>
        </w:rPr>
        <w:t>vērtības uz kurām balstās sadarbība</w:t>
      </w:r>
      <w:r w:rsidR="0002431B" w:rsidRPr="00AA6642">
        <w:rPr>
          <w:lang w:val="lv-LV"/>
        </w:rPr>
        <w:t xml:space="preserve">. </w:t>
      </w:r>
    </w:p>
    <w:p w:rsidR="0002431B" w:rsidRPr="00AA6642" w:rsidRDefault="003324F4" w:rsidP="00936B86">
      <w:pPr>
        <w:rPr>
          <w:lang w:val="lv-LV"/>
        </w:rPr>
      </w:pPr>
      <w:r w:rsidRPr="00AA6642">
        <w:rPr>
          <w:lang w:val="lv-LV"/>
        </w:rPr>
        <w:t>Šī sadarbības koncepcija ir atbilstoša gan sadarbībai starp organizācijām, gan sadarbībai starp personām (arī ar klientiem, kuri saņem pakalpojumus)  kopprodukcijas procesā.</w:t>
      </w:r>
    </w:p>
    <w:p w:rsidR="0002431B" w:rsidRPr="00AA6642" w:rsidRDefault="00443049" w:rsidP="009437F1">
      <w:pPr>
        <w:pStyle w:val="Heading2"/>
        <w:rPr>
          <w:lang w:val="lv-LV"/>
        </w:rPr>
      </w:pPr>
      <w:bookmarkStart w:id="29" w:name="_Toc443312612"/>
      <w:bookmarkStart w:id="30" w:name="_Toc444090583"/>
      <w:r w:rsidRPr="00AA6642">
        <w:rPr>
          <w:lang w:val="lv-LV"/>
        </w:rPr>
        <w:lastRenderedPageBreak/>
        <w:t>I</w:t>
      </w:r>
      <w:r w:rsidR="00AD4EB1" w:rsidRPr="00AA6642">
        <w:rPr>
          <w:lang w:val="lv-LV"/>
        </w:rPr>
        <w:t>V</w:t>
      </w:r>
      <w:r w:rsidR="0002431B" w:rsidRPr="00AA6642">
        <w:rPr>
          <w:lang w:val="lv-LV"/>
        </w:rPr>
        <w:t>.</w:t>
      </w:r>
      <w:r w:rsidR="00AD4EB1" w:rsidRPr="00AA6642">
        <w:rPr>
          <w:lang w:val="lv-LV"/>
        </w:rPr>
        <w:t>1.</w:t>
      </w:r>
      <w:r w:rsidR="0002431B" w:rsidRPr="00AA6642">
        <w:rPr>
          <w:lang w:val="lv-LV"/>
        </w:rPr>
        <w:t xml:space="preserve">7 </w:t>
      </w:r>
      <w:bookmarkEnd w:id="29"/>
      <w:bookmarkEnd w:id="30"/>
      <w:r w:rsidR="003324F4" w:rsidRPr="00AA6642">
        <w:rPr>
          <w:lang w:val="lv-LV"/>
        </w:rPr>
        <w:t>Sadarbības formas</w:t>
      </w:r>
    </w:p>
    <w:p w:rsidR="003324F4" w:rsidRPr="00AA6642" w:rsidRDefault="003324F4" w:rsidP="003324F4">
      <w:pPr>
        <w:pStyle w:val="ListParagraph"/>
        <w:numPr>
          <w:ilvl w:val="0"/>
          <w:numId w:val="16"/>
        </w:numPr>
        <w:rPr>
          <w:lang w:val="lv-LV"/>
        </w:rPr>
      </w:pPr>
      <w:r w:rsidRPr="00AA6642">
        <w:rPr>
          <w:b/>
          <w:lang w:val="lv-LV"/>
        </w:rPr>
        <w:t>Sadarbība ar lēmumu pieņēmējiem un reglamentējošām institūcijām</w:t>
      </w:r>
      <w:r w:rsidRPr="00AA6642">
        <w:rPr>
          <w:lang w:val="lv-LV"/>
        </w:rPr>
        <w:t xml:space="preserve"> - (publiskā un privātā partnerība, publiskais iepirkums ...)</w:t>
      </w:r>
    </w:p>
    <w:p w:rsidR="003324F4" w:rsidRPr="00AA6642" w:rsidRDefault="003324F4" w:rsidP="003324F4">
      <w:pPr>
        <w:pStyle w:val="ListParagraph"/>
        <w:numPr>
          <w:ilvl w:val="0"/>
          <w:numId w:val="16"/>
        </w:numPr>
        <w:rPr>
          <w:lang w:val="lv-LV"/>
        </w:rPr>
      </w:pPr>
      <w:r w:rsidRPr="00AA6642">
        <w:rPr>
          <w:b/>
          <w:lang w:val="lv-LV"/>
        </w:rPr>
        <w:t>Sadarbība ar citiem pakalpojumu sniedzējiem</w:t>
      </w:r>
      <w:r w:rsidR="008C6387" w:rsidRPr="00AA6642">
        <w:rPr>
          <w:lang w:val="lv-LV"/>
        </w:rPr>
        <w:t xml:space="preserve"> - dažādas sadarbības formas</w:t>
      </w:r>
      <w:r w:rsidRPr="00AA6642">
        <w:rPr>
          <w:lang w:val="lv-LV"/>
        </w:rPr>
        <w:t xml:space="preserve"> starp pakalpojumu sniedzējiem, lai nodrošinātu pakalpojumu nepārtrauktību: Eiropas, valsts "</w:t>
      </w:r>
      <w:r w:rsidR="008C6387" w:rsidRPr="00AA6642">
        <w:rPr>
          <w:lang w:val="lv-LV"/>
        </w:rPr>
        <w:t>pakalpojumu sniedzēju forums", reģionālā un vietējā sadarbība</w:t>
      </w:r>
      <w:r w:rsidRPr="00AA6642">
        <w:rPr>
          <w:lang w:val="lv-LV"/>
        </w:rPr>
        <w:t>.</w:t>
      </w:r>
    </w:p>
    <w:p w:rsidR="008C6387" w:rsidRPr="00AA6642" w:rsidRDefault="008C6387" w:rsidP="008C6387">
      <w:pPr>
        <w:pStyle w:val="ListParagraph"/>
        <w:numPr>
          <w:ilvl w:val="0"/>
          <w:numId w:val="16"/>
        </w:numPr>
        <w:rPr>
          <w:lang w:val="lv-LV"/>
        </w:rPr>
      </w:pPr>
      <w:r w:rsidRPr="00AA6642">
        <w:rPr>
          <w:b/>
          <w:lang w:val="lv-LV"/>
        </w:rPr>
        <w:t xml:space="preserve">Sadarbība ar citām sabiedrības nozarēm </w:t>
      </w:r>
      <w:r w:rsidRPr="00AA6642">
        <w:rPr>
          <w:lang w:val="lv-LV"/>
        </w:rPr>
        <w:t>- (intervences jomas)</w:t>
      </w:r>
    </w:p>
    <w:p w:rsidR="008C6387" w:rsidRPr="00AA6642" w:rsidRDefault="008C6387" w:rsidP="008C6387">
      <w:pPr>
        <w:pStyle w:val="ListParagraph"/>
        <w:rPr>
          <w:lang w:val="lv-LV"/>
        </w:rPr>
      </w:pPr>
      <w:r w:rsidRPr="00AA6642">
        <w:rPr>
          <w:lang w:val="lv-LV"/>
        </w:rPr>
        <w:t>Darba devēji, izglītības nozare, mājokļu nozare...</w:t>
      </w:r>
    </w:p>
    <w:p w:rsidR="008C6387" w:rsidRPr="00AA6642" w:rsidRDefault="008C6387" w:rsidP="00EB33A2">
      <w:pPr>
        <w:pStyle w:val="ListParagraph"/>
        <w:numPr>
          <w:ilvl w:val="0"/>
          <w:numId w:val="16"/>
        </w:numPr>
        <w:rPr>
          <w:lang w:val="lv-LV"/>
        </w:rPr>
      </w:pPr>
      <w:r w:rsidRPr="00AA6642">
        <w:rPr>
          <w:b/>
          <w:lang w:val="lv-LV"/>
        </w:rPr>
        <w:t>Sadarbība ar personām ar invaliditāti (pakalpojumu lietotājiem) un viņu</w:t>
      </w:r>
      <w:r w:rsidRPr="00AA6642">
        <w:rPr>
          <w:lang w:val="lv-LV"/>
        </w:rPr>
        <w:t xml:space="preserve"> ģimenēm -</w:t>
      </w:r>
    </w:p>
    <w:p w:rsidR="008C6387" w:rsidRPr="00AA6642" w:rsidRDefault="008C6387" w:rsidP="008C6387">
      <w:pPr>
        <w:pStyle w:val="ListParagraph"/>
        <w:rPr>
          <w:lang w:val="lv-LV"/>
        </w:rPr>
      </w:pPr>
      <w:r w:rsidRPr="00AA6642">
        <w:rPr>
          <w:lang w:val="lv-LV"/>
        </w:rPr>
        <w:t>Lietotāju iesaistīšana pakalpojumu attīstībā, nodrošināšanā, uzraudzībā un izvērtēšanā,</w:t>
      </w:r>
    </w:p>
    <w:p w:rsidR="008C6387" w:rsidRPr="00AA6642" w:rsidRDefault="008C6387" w:rsidP="008C6387">
      <w:pPr>
        <w:pStyle w:val="ListParagraph"/>
        <w:numPr>
          <w:ilvl w:val="0"/>
          <w:numId w:val="16"/>
        </w:numPr>
        <w:rPr>
          <w:b/>
          <w:lang w:val="lv-LV"/>
        </w:rPr>
      </w:pPr>
      <w:r w:rsidRPr="00AA6642">
        <w:rPr>
          <w:b/>
          <w:lang w:val="lv-LV"/>
        </w:rPr>
        <w:t>Sadarbība starp pakalpojumu sniedzējiem un starptautiskām aģentūrām -</w:t>
      </w:r>
    </w:p>
    <w:p w:rsidR="008C6387" w:rsidRPr="00AA6642" w:rsidRDefault="008C6387" w:rsidP="008C6387">
      <w:pPr>
        <w:pStyle w:val="ListParagraph"/>
        <w:rPr>
          <w:lang w:val="lv-LV"/>
        </w:rPr>
      </w:pPr>
      <w:r w:rsidRPr="00AA6642">
        <w:rPr>
          <w:lang w:val="lv-LV"/>
        </w:rPr>
        <w:t>lai nodrošinātu nepārtrauktu pakalpojumu personām ar invaliditāti modernizāciju.</w:t>
      </w:r>
    </w:p>
    <w:p w:rsidR="0002431B" w:rsidRPr="00AA6642" w:rsidRDefault="00443049" w:rsidP="00021F83">
      <w:pPr>
        <w:pStyle w:val="Heading1"/>
        <w:rPr>
          <w:lang w:val="lv-LV"/>
        </w:rPr>
      </w:pPr>
      <w:bookmarkStart w:id="31" w:name="_Toc443312613"/>
      <w:bookmarkStart w:id="32" w:name="_Toc444090584"/>
      <w:r w:rsidRPr="00AA6642">
        <w:rPr>
          <w:lang w:val="lv-LV"/>
        </w:rPr>
        <w:t>I</w:t>
      </w:r>
      <w:r w:rsidR="00AD4EB1" w:rsidRPr="00AA6642">
        <w:rPr>
          <w:lang w:val="lv-LV"/>
        </w:rPr>
        <w:t>V</w:t>
      </w:r>
      <w:r w:rsidR="0002431B" w:rsidRPr="00AA6642">
        <w:rPr>
          <w:lang w:val="lv-LV"/>
        </w:rPr>
        <w:t>.</w:t>
      </w:r>
      <w:r w:rsidR="00AD4EB1" w:rsidRPr="00AA6642">
        <w:rPr>
          <w:lang w:val="lv-LV"/>
        </w:rPr>
        <w:t>2</w:t>
      </w:r>
      <w:r w:rsidR="0002431B" w:rsidRPr="00AA6642">
        <w:rPr>
          <w:lang w:val="lv-LV"/>
        </w:rPr>
        <w:t xml:space="preserve"> </w:t>
      </w:r>
      <w:r w:rsidR="008C6387" w:rsidRPr="00AA6642">
        <w:rPr>
          <w:lang w:val="lv-LV"/>
        </w:rPr>
        <w:t xml:space="preserve">Tīklošanās un ieinteresēto pušu sadarbības mehānismi </w:t>
      </w:r>
      <w:bookmarkEnd w:id="31"/>
      <w:bookmarkEnd w:id="32"/>
    </w:p>
    <w:p w:rsidR="0002431B" w:rsidRPr="00AA6642" w:rsidRDefault="008C6387" w:rsidP="00984EDB">
      <w:pPr>
        <w:pStyle w:val="ListParagraph"/>
        <w:numPr>
          <w:ilvl w:val="0"/>
          <w:numId w:val="17"/>
        </w:numPr>
        <w:rPr>
          <w:lang w:val="lv-LV"/>
        </w:rPr>
      </w:pPr>
      <w:r w:rsidRPr="00AA6642">
        <w:rPr>
          <w:lang w:val="lv-LV"/>
        </w:rPr>
        <w:t>Sadarbības tīklu attīstība</w:t>
      </w:r>
    </w:p>
    <w:p w:rsidR="0002431B" w:rsidRPr="00AA6642" w:rsidRDefault="00AA6642" w:rsidP="00984EDB">
      <w:pPr>
        <w:pStyle w:val="ListParagraph"/>
        <w:numPr>
          <w:ilvl w:val="0"/>
          <w:numId w:val="17"/>
        </w:numPr>
        <w:rPr>
          <w:lang w:val="lv-LV"/>
        </w:rPr>
      </w:pPr>
      <w:r w:rsidRPr="00AA6642">
        <w:rPr>
          <w:lang w:val="lv-LV"/>
        </w:rPr>
        <w:t>Pamatizvēlnes</w:t>
      </w:r>
    </w:p>
    <w:p w:rsidR="0002431B" w:rsidRPr="00AA6642" w:rsidRDefault="008C6387" w:rsidP="00984EDB">
      <w:pPr>
        <w:pStyle w:val="ListParagraph"/>
        <w:numPr>
          <w:ilvl w:val="0"/>
          <w:numId w:val="17"/>
        </w:numPr>
        <w:rPr>
          <w:lang w:val="lv-LV"/>
        </w:rPr>
      </w:pPr>
      <w:r w:rsidRPr="00AA6642">
        <w:rPr>
          <w:lang w:val="lv-LV"/>
        </w:rPr>
        <w:t>Instrumenti</w:t>
      </w:r>
    </w:p>
    <w:p w:rsidR="0002431B" w:rsidRPr="00AA6642" w:rsidRDefault="008C6387" w:rsidP="00984EDB">
      <w:pPr>
        <w:pStyle w:val="ListParagraph"/>
        <w:numPr>
          <w:ilvl w:val="0"/>
          <w:numId w:val="17"/>
        </w:numPr>
        <w:rPr>
          <w:lang w:val="lv-LV"/>
        </w:rPr>
      </w:pPr>
      <w:r w:rsidRPr="00AA6642">
        <w:rPr>
          <w:lang w:val="lv-LV"/>
        </w:rPr>
        <w:t>Gūtās mācības</w:t>
      </w:r>
    </w:p>
    <w:p w:rsidR="0002431B" w:rsidRPr="00AA6642" w:rsidRDefault="008C6387" w:rsidP="00984EDB">
      <w:pPr>
        <w:pStyle w:val="ListParagraph"/>
        <w:numPr>
          <w:ilvl w:val="0"/>
          <w:numId w:val="17"/>
        </w:numPr>
        <w:rPr>
          <w:lang w:val="lv-LV"/>
        </w:rPr>
      </w:pPr>
      <w:r w:rsidRPr="00AA6642">
        <w:rPr>
          <w:lang w:val="lv-LV"/>
        </w:rPr>
        <w:t>Darbības, attīstot ieinteresēto pušu pieeju</w:t>
      </w:r>
    </w:p>
    <w:p w:rsidR="0002431B" w:rsidRPr="00AA6642" w:rsidRDefault="008C6387" w:rsidP="00984EDB">
      <w:pPr>
        <w:pStyle w:val="ListParagraph"/>
        <w:numPr>
          <w:ilvl w:val="0"/>
          <w:numId w:val="17"/>
        </w:numPr>
        <w:rPr>
          <w:lang w:val="lv-LV"/>
        </w:rPr>
      </w:pPr>
      <w:r w:rsidRPr="00AA6642">
        <w:rPr>
          <w:lang w:val="lv-LV"/>
        </w:rPr>
        <w:t>Eiropas sadarbības tīklu piemēri</w:t>
      </w:r>
    </w:p>
    <w:p w:rsidR="0002431B" w:rsidRPr="00AA6642" w:rsidRDefault="00443049" w:rsidP="009437F1">
      <w:pPr>
        <w:pStyle w:val="Heading2"/>
        <w:rPr>
          <w:lang w:val="lv-LV"/>
        </w:rPr>
      </w:pPr>
      <w:bookmarkStart w:id="33" w:name="_Toc443312614"/>
      <w:bookmarkStart w:id="34" w:name="_Toc444090585"/>
      <w:r w:rsidRPr="00AA6642">
        <w:rPr>
          <w:lang w:val="lv-LV"/>
        </w:rPr>
        <w:t>I</w:t>
      </w:r>
      <w:r w:rsidR="00AD4EB1" w:rsidRPr="00AA6642">
        <w:rPr>
          <w:lang w:val="lv-LV"/>
        </w:rPr>
        <w:t>V.2</w:t>
      </w:r>
      <w:r w:rsidR="0002431B" w:rsidRPr="00AA6642">
        <w:rPr>
          <w:lang w:val="lv-LV"/>
        </w:rPr>
        <w:t>.</w:t>
      </w:r>
      <w:r w:rsidR="00AD4EB1" w:rsidRPr="00AA6642">
        <w:rPr>
          <w:lang w:val="lv-LV"/>
        </w:rPr>
        <w:t>1</w:t>
      </w:r>
      <w:r w:rsidR="0002431B" w:rsidRPr="00AA6642">
        <w:rPr>
          <w:lang w:val="lv-LV"/>
        </w:rPr>
        <w:t xml:space="preserve"> </w:t>
      </w:r>
      <w:bookmarkEnd w:id="33"/>
      <w:bookmarkEnd w:id="34"/>
      <w:r w:rsidR="008C6387" w:rsidRPr="00AA6642">
        <w:rPr>
          <w:lang w:val="lv-LV"/>
        </w:rPr>
        <w:t>Sadarbības tīklu attīstība</w:t>
      </w:r>
    </w:p>
    <w:p w:rsidR="0002431B" w:rsidRPr="00AA6642" w:rsidRDefault="008C6387" w:rsidP="00E711EC">
      <w:pPr>
        <w:spacing w:after="0"/>
        <w:rPr>
          <w:b/>
          <w:lang w:val="lv-LV"/>
        </w:rPr>
      </w:pPr>
      <w:r w:rsidRPr="00AA6642">
        <w:rPr>
          <w:b/>
          <w:lang w:val="lv-LV"/>
        </w:rPr>
        <w:t>Sadarbības tīklu attīstībā var identificēt vairākas fāzes</w:t>
      </w:r>
      <w:r w:rsidR="0002431B" w:rsidRPr="00AA6642">
        <w:rPr>
          <w:b/>
          <w:lang w:val="lv-LV"/>
        </w:rPr>
        <w:t xml:space="preserve">: </w:t>
      </w:r>
    </w:p>
    <w:p w:rsidR="0002431B" w:rsidRPr="00AA6642" w:rsidRDefault="008C6387" w:rsidP="00984EDB">
      <w:pPr>
        <w:pStyle w:val="ListParagraph"/>
        <w:numPr>
          <w:ilvl w:val="0"/>
          <w:numId w:val="18"/>
        </w:numPr>
        <w:rPr>
          <w:lang w:val="lv-LV"/>
        </w:rPr>
      </w:pPr>
      <w:r w:rsidRPr="00AA6642">
        <w:rPr>
          <w:lang w:val="lv-LV"/>
        </w:rPr>
        <w:t>No “sacensības”</w:t>
      </w:r>
      <w:r w:rsidR="00F52624" w:rsidRPr="00AA6642">
        <w:rPr>
          <w:lang w:val="lv-LV"/>
        </w:rPr>
        <w:t xml:space="preserve"> </w:t>
      </w:r>
      <w:r w:rsidRPr="00AA6642">
        <w:rPr>
          <w:lang w:val="lv-LV"/>
        </w:rPr>
        <w:t>uz partnerību</w:t>
      </w:r>
    </w:p>
    <w:p w:rsidR="008C6387" w:rsidRPr="00AA6642" w:rsidRDefault="008C6387" w:rsidP="008C6387">
      <w:pPr>
        <w:pStyle w:val="ListParagraph"/>
        <w:numPr>
          <w:ilvl w:val="0"/>
          <w:numId w:val="18"/>
        </w:numPr>
        <w:rPr>
          <w:lang w:val="lv-LV"/>
        </w:rPr>
      </w:pPr>
      <w:r w:rsidRPr="00AA6642">
        <w:rPr>
          <w:lang w:val="lv-LV"/>
        </w:rPr>
        <w:t>No cilvēka orientēta uz misiju orientētu</w:t>
      </w:r>
    </w:p>
    <w:p w:rsidR="0002431B" w:rsidRPr="00AA6642" w:rsidRDefault="008C6387" w:rsidP="008C6387">
      <w:pPr>
        <w:pStyle w:val="ListParagraph"/>
        <w:numPr>
          <w:ilvl w:val="0"/>
          <w:numId w:val="18"/>
        </w:numPr>
        <w:rPr>
          <w:lang w:val="lv-LV"/>
        </w:rPr>
      </w:pPr>
      <w:r w:rsidRPr="00AA6642">
        <w:rPr>
          <w:lang w:val="lv-LV"/>
        </w:rPr>
        <w:t>No abstraktām vērtībām uz konkrētiem mērķiem</w:t>
      </w:r>
    </w:p>
    <w:p w:rsidR="0002431B" w:rsidRPr="00AA6642" w:rsidRDefault="008C6387" w:rsidP="00984EDB">
      <w:pPr>
        <w:pStyle w:val="ListParagraph"/>
        <w:numPr>
          <w:ilvl w:val="0"/>
          <w:numId w:val="18"/>
        </w:numPr>
        <w:rPr>
          <w:lang w:val="lv-LV"/>
        </w:rPr>
      </w:pPr>
      <w:r w:rsidRPr="00AA6642">
        <w:rPr>
          <w:lang w:val="lv-LV"/>
        </w:rPr>
        <w:t xml:space="preserve">No plašāka līmeņa uz pamata darbiniekiem </w:t>
      </w:r>
    </w:p>
    <w:p w:rsidR="0002431B" w:rsidRPr="00AA6642" w:rsidRDefault="00443049" w:rsidP="009437F1">
      <w:pPr>
        <w:pStyle w:val="Heading2"/>
        <w:rPr>
          <w:lang w:val="lv-LV"/>
        </w:rPr>
      </w:pPr>
      <w:bookmarkStart w:id="35" w:name="_Toc443312615"/>
      <w:bookmarkStart w:id="36" w:name="_Toc444090586"/>
      <w:r w:rsidRPr="00AA6642">
        <w:rPr>
          <w:lang w:val="lv-LV"/>
        </w:rPr>
        <w:t>I</w:t>
      </w:r>
      <w:r w:rsidR="00AD4EB1" w:rsidRPr="00AA6642">
        <w:rPr>
          <w:lang w:val="lv-LV"/>
        </w:rPr>
        <w:t xml:space="preserve">V.2.2 </w:t>
      </w:r>
      <w:bookmarkEnd w:id="35"/>
      <w:bookmarkEnd w:id="36"/>
      <w:r w:rsidR="00AA6642" w:rsidRPr="00AA6642">
        <w:rPr>
          <w:lang w:val="lv-LV"/>
        </w:rPr>
        <w:t>Pamatizvēlnes</w:t>
      </w:r>
    </w:p>
    <w:p w:rsidR="0002431B" w:rsidRPr="00AA6642" w:rsidRDefault="00236793" w:rsidP="00E711EC">
      <w:pPr>
        <w:spacing w:after="0"/>
        <w:rPr>
          <w:b/>
          <w:lang w:val="lv-LV"/>
        </w:rPr>
      </w:pPr>
      <w:r w:rsidRPr="00AA6642">
        <w:rPr>
          <w:b/>
          <w:lang w:val="lv-LV"/>
        </w:rPr>
        <w:t>Iesākumā katram sadarbības tīklam ir jāpieņem lēmums par</w:t>
      </w:r>
      <w:r w:rsidR="0002431B" w:rsidRPr="00AA6642">
        <w:rPr>
          <w:b/>
          <w:lang w:val="lv-LV"/>
        </w:rPr>
        <w:t xml:space="preserve">: </w:t>
      </w:r>
    </w:p>
    <w:p w:rsidR="0002431B" w:rsidRPr="00AA6642" w:rsidRDefault="00236793" w:rsidP="00984EDB">
      <w:pPr>
        <w:pStyle w:val="ListParagraph"/>
        <w:numPr>
          <w:ilvl w:val="0"/>
          <w:numId w:val="16"/>
        </w:numPr>
        <w:rPr>
          <w:lang w:val="lv-LV"/>
        </w:rPr>
      </w:pPr>
      <w:r w:rsidRPr="00AA6642">
        <w:rPr>
          <w:lang w:val="lv-LV"/>
        </w:rPr>
        <w:t>Pamatdarbības atbalstu</w:t>
      </w:r>
    </w:p>
    <w:p w:rsidR="0002431B" w:rsidRPr="00AA6642" w:rsidRDefault="00236793" w:rsidP="00984EDB">
      <w:pPr>
        <w:pStyle w:val="ListParagraph"/>
        <w:numPr>
          <w:ilvl w:val="0"/>
          <w:numId w:val="16"/>
        </w:numPr>
        <w:rPr>
          <w:lang w:val="lv-LV"/>
        </w:rPr>
      </w:pPr>
      <w:r w:rsidRPr="00AA6642">
        <w:rPr>
          <w:lang w:val="lv-LV"/>
        </w:rPr>
        <w:t>Zināšanām</w:t>
      </w:r>
      <w:r w:rsidR="00AD4EB1" w:rsidRPr="00AA6642">
        <w:rPr>
          <w:lang w:val="lv-LV"/>
        </w:rPr>
        <w:t xml:space="preserve"> </w:t>
      </w:r>
      <w:r w:rsidRPr="00AA6642">
        <w:rPr>
          <w:lang w:val="lv-LV"/>
        </w:rPr>
        <w:t>un zināšanu pārnesi</w:t>
      </w:r>
    </w:p>
    <w:p w:rsidR="0002431B" w:rsidRPr="00AA6642" w:rsidRDefault="00236793" w:rsidP="00984EDB">
      <w:pPr>
        <w:pStyle w:val="ListParagraph"/>
        <w:numPr>
          <w:ilvl w:val="0"/>
          <w:numId w:val="16"/>
        </w:numPr>
        <w:rPr>
          <w:lang w:val="lv-LV"/>
        </w:rPr>
      </w:pPr>
      <w:r w:rsidRPr="00AA6642">
        <w:rPr>
          <w:lang w:val="lv-LV"/>
        </w:rPr>
        <w:t>Ekonomikas mērogu</w:t>
      </w:r>
    </w:p>
    <w:p w:rsidR="0002431B" w:rsidRPr="00AA6642" w:rsidRDefault="00F52624" w:rsidP="00984EDB">
      <w:pPr>
        <w:pStyle w:val="ListParagraph"/>
        <w:numPr>
          <w:ilvl w:val="0"/>
          <w:numId w:val="16"/>
        </w:numPr>
        <w:rPr>
          <w:lang w:val="lv-LV"/>
        </w:rPr>
      </w:pPr>
      <w:r w:rsidRPr="00AA6642">
        <w:rPr>
          <w:lang w:val="lv-LV"/>
        </w:rPr>
        <w:t>Dalītām</w:t>
      </w:r>
      <w:r w:rsidR="00236793" w:rsidRPr="00AA6642">
        <w:rPr>
          <w:lang w:val="lv-LV"/>
        </w:rPr>
        <w:t xml:space="preserve"> vērtībām</w:t>
      </w:r>
    </w:p>
    <w:p w:rsidR="0002431B" w:rsidRPr="00AA6642" w:rsidRDefault="00236793" w:rsidP="00984EDB">
      <w:pPr>
        <w:pStyle w:val="ListParagraph"/>
        <w:numPr>
          <w:ilvl w:val="0"/>
          <w:numId w:val="16"/>
        </w:numPr>
        <w:rPr>
          <w:lang w:val="lv-LV"/>
        </w:rPr>
      </w:pPr>
      <w:r w:rsidRPr="00AA6642">
        <w:rPr>
          <w:lang w:val="lv-LV"/>
        </w:rPr>
        <w:t>Lomu sociālā ekonomikā</w:t>
      </w:r>
    </w:p>
    <w:p w:rsidR="0002431B" w:rsidRPr="00AA6642" w:rsidRDefault="00236793" w:rsidP="00936B86">
      <w:pPr>
        <w:rPr>
          <w:lang w:val="lv-LV"/>
        </w:rPr>
      </w:pPr>
      <w:r w:rsidRPr="00AA6642">
        <w:rPr>
          <w:lang w:val="lv-LV"/>
        </w:rPr>
        <w:lastRenderedPageBreak/>
        <w:t xml:space="preserve">Potenciāliem </w:t>
      </w:r>
      <w:r w:rsidR="00F52624" w:rsidRPr="00AA6642">
        <w:rPr>
          <w:lang w:val="lv-LV"/>
        </w:rPr>
        <w:t>biedriem</w:t>
      </w:r>
      <w:r w:rsidRPr="00AA6642">
        <w:rPr>
          <w:lang w:val="lv-LV"/>
        </w:rPr>
        <w:t xml:space="preserve"> ir jāzina, kāda pievienotā vērtība ir tam, ja tie ir sadarbības tīkla biedri. </w:t>
      </w:r>
    </w:p>
    <w:p w:rsidR="0002431B" w:rsidRPr="00AA6642" w:rsidRDefault="00443049" w:rsidP="009437F1">
      <w:pPr>
        <w:pStyle w:val="Heading2"/>
        <w:rPr>
          <w:lang w:val="lv-LV"/>
        </w:rPr>
      </w:pPr>
      <w:bookmarkStart w:id="37" w:name="_Toc443312616"/>
      <w:bookmarkStart w:id="38" w:name="_Toc444090587"/>
      <w:r w:rsidRPr="00AA6642">
        <w:rPr>
          <w:lang w:val="lv-LV"/>
        </w:rPr>
        <w:t>I</w:t>
      </w:r>
      <w:r w:rsidR="00AD4EB1" w:rsidRPr="00AA6642">
        <w:rPr>
          <w:lang w:val="lv-LV"/>
        </w:rPr>
        <w:t>V</w:t>
      </w:r>
      <w:r w:rsidR="0002431B" w:rsidRPr="00AA6642">
        <w:rPr>
          <w:lang w:val="lv-LV"/>
        </w:rPr>
        <w:t>.</w:t>
      </w:r>
      <w:r w:rsidR="00AD4EB1" w:rsidRPr="00AA6642">
        <w:rPr>
          <w:lang w:val="lv-LV"/>
        </w:rPr>
        <w:t>2.3</w:t>
      </w:r>
      <w:r w:rsidR="0002431B" w:rsidRPr="00AA6642">
        <w:rPr>
          <w:lang w:val="lv-LV"/>
        </w:rPr>
        <w:t xml:space="preserve"> Instrument</w:t>
      </w:r>
      <w:bookmarkEnd w:id="37"/>
      <w:bookmarkEnd w:id="38"/>
      <w:r w:rsidR="00236793" w:rsidRPr="00AA6642">
        <w:rPr>
          <w:lang w:val="lv-LV"/>
        </w:rPr>
        <w:t>i</w:t>
      </w:r>
    </w:p>
    <w:p w:rsidR="0002431B" w:rsidRPr="00AA6642" w:rsidRDefault="00236793" w:rsidP="00984EDB">
      <w:pPr>
        <w:pStyle w:val="ListParagraph"/>
        <w:numPr>
          <w:ilvl w:val="0"/>
          <w:numId w:val="16"/>
        </w:numPr>
        <w:rPr>
          <w:lang w:val="lv-LV"/>
        </w:rPr>
      </w:pPr>
      <w:r w:rsidRPr="00AA6642">
        <w:rPr>
          <w:lang w:val="lv-LV"/>
        </w:rPr>
        <w:t>Misijas definīcija</w:t>
      </w:r>
    </w:p>
    <w:p w:rsidR="0002431B" w:rsidRPr="00AA6642" w:rsidRDefault="0002431B" w:rsidP="00984EDB">
      <w:pPr>
        <w:pStyle w:val="ListParagraph"/>
        <w:numPr>
          <w:ilvl w:val="0"/>
          <w:numId w:val="16"/>
        </w:numPr>
        <w:rPr>
          <w:lang w:val="lv-LV"/>
        </w:rPr>
      </w:pPr>
      <w:r w:rsidRPr="00AA6642">
        <w:rPr>
          <w:lang w:val="lv-LV"/>
        </w:rPr>
        <w:t>Strat</w:t>
      </w:r>
      <w:r w:rsidR="00236793" w:rsidRPr="00AA6642">
        <w:rPr>
          <w:lang w:val="lv-LV"/>
        </w:rPr>
        <w:t>ēģiskie mērķi</w:t>
      </w:r>
    </w:p>
    <w:p w:rsidR="0002431B" w:rsidRPr="00AA6642" w:rsidRDefault="00236793" w:rsidP="00984EDB">
      <w:pPr>
        <w:pStyle w:val="ListParagraph"/>
        <w:numPr>
          <w:ilvl w:val="0"/>
          <w:numId w:val="16"/>
        </w:numPr>
        <w:rPr>
          <w:lang w:val="lv-LV"/>
        </w:rPr>
      </w:pPr>
      <w:r w:rsidRPr="00AA6642">
        <w:rPr>
          <w:lang w:val="lv-LV"/>
        </w:rPr>
        <w:t>Konkrēti mērķi</w:t>
      </w:r>
    </w:p>
    <w:p w:rsidR="0002431B" w:rsidRPr="00AA6642" w:rsidRDefault="00236793" w:rsidP="00984EDB">
      <w:pPr>
        <w:pStyle w:val="ListParagraph"/>
        <w:numPr>
          <w:ilvl w:val="0"/>
          <w:numId w:val="16"/>
        </w:numPr>
        <w:rPr>
          <w:lang w:val="lv-LV"/>
        </w:rPr>
      </w:pPr>
      <w:r w:rsidRPr="00AA6642">
        <w:rPr>
          <w:lang w:val="lv-LV"/>
        </w:rPr>
        <w:t>Rīcības plāns</w:t>
      </w:r>
      <w:r w:rsidR="0002431B" w:rsidRPr="00AA6642">
        <w:rPr>
          <w:lang w:val="lv-LV"/>
        </w:rPr>
        <w:t xml:space="preserve"> / </w:t>
      </w:r>
      <w:r w:rsidRPr="00AA6642">
        <w:rPr>
          <w:lang w:val="lv-LV"/>
        </w:rPr>
        <w:t>ikgadējais ziņojums</w:t>
      </w:r>
    </w:p>
    <w:p w:rsidR="0002431B" w:rsidRPr="00AA6642" w:rsidRDefault="00236793" w:rsidP="00984EDB">
      <w:pPr>
        <w:pStyle w:val="ListParagraph"/>
        <w:numPr>
          <w:ilvl w:val="0"/>
          <w:numId w:val="16"/>
        </w:numPr>
        <w:rPr>
          <w:lang w:val="lv-LV"/>
        </w:rPr>
      </w:pPr>
      <w:r w:rsidRPr="00AA6642">
        <w:rPr>
          <w:lang w:val="lv-LV"/>
        </w:rPr>
        <w:t>Mandāts</w:t>
      </w:r>
    </w:p>
    <w:p w:rsidR="0002431B" w:rsidRPr="00AA6642" w:rsidRDefault="00236793" w:rsidP="00984EDB">
      <w:pPr>
        <w:pStyle w:val="ListParagraph"/>
        <w:numPr>
          <w:ilvl w:val="0"/>
          <w:numId w:val="16"/>
        </w:numPr>
        <w:rPr>
          <w:lang w:val="lv-LV"/>
        </w:rPr>
      </w:pPr>
      <w:r w:rsidRPr="00AA6642">
        <w:rPr>
          <w:lang w:val="lv-LV"/>
        </w:rPr>
        <w:t>Protokols</w:t>
      </w:r>
      <w:r w:rsidR="0002431B" w:rsidRPr="00AA6642">
        <w:rPr>
          <w:lang w:val="lv-LV"/>
        </w:rPr>
        <w:t xml:space="preserve"> </w:t>
      </w:r>
    </w:p>
    <w:p w:rsidR="0002431B" w:rsidRPr="00AA6642" w:rsidRDefault="00443049" w:rsidP="009437F1">
      <w:pPr>
        <w:pStyle w:val="Heading2"/>
        <w:rPr>
          <w:lang w:val="lv-LV"/>
        </w:rPr>
      </w:pPr>
      <w:bookmarkStart w:id="39" w:name="_Toc443312617"/>
      <w:bookmarkStart w:id="40" w:name="_Toc444090588"/>
      <w:r w:rsidRPr="00AA6642">
        <w:rPr>
          <w:lang w:val="lv-LV"/>
        </w:rPr>
        <w:t>I</w:t>
      </w:r>
      <w:r w:rsidR="00AD4EB1" w:rsidRPr="00AA6642">
        <w:rPr>
          <w:lang w:val="lv-LV"/>
        </w:rPr>
        <w:t>V</w:t>
      </w:r>
      <w:r w:rsidR="0002431B" w:rsidRPr="00AA6642">
        <w:rPr>
          <w:lang w:val="lv-LV"/>
        </w:rPr>
        <w:t>.</w:t>
      </w:r>
      <w:r w:rsidR="00AD4EB1" w:rsidRPr="00AA6642">
        <w:rPr>
          <w:lang w:val="lv-LV"/>
        </w:rPr>
        <w:t>2.4</w:t>
      </w:r>
      <w:r w:rsidR="0002431B" w:rsidRPr="00AA6642">
        <w:rPr>
          <w:lang w:val="lv-LV"/>
        </w:rPr>
        <w:t xml:space="preserve"> </w:t>
      </w:r>
      <w:bookmarkEnd w:id="39"/>
      <w:bookmarkEnd w:id="40"/>
      <w:r w:rsidR="00236793" w:rsidRPr="00AA6642">
        <w:rPr>
          <w:lang w:val="lv-LV"/>
        </w:rPr>
        <w:t>Gūtās mācības</w:t>
      </w:r>
    </w:p>
    <w:p w:rsidR="0002431B" w:rsidRPr="00AA6642" w:rsidRDefault="00236793" w:rsidP="00E711EC">
      <w:pPr>
        <w:spacing w:after="0"/>
        <w:rPr>
          <w:b/>
          <w:lang w:val="lv-LV"/>
        </w:rPr>
      </w:pPr>
      <w:r w:rsidRPr="00AA6642">
        <w:rPr>
          <w:b/>
          <w:lang w:val="lv-LV"/>
        </w:rPr>
        <w:t>Strukturālā dimensija</w:t>
      </w:r>
      <w:r w:rsidR="0002431B" w:rsidRPr="00AA6642">
        <w:rPr>
          <w:b/>
          <w:lang w:val="lv-LV"/>
        </w:rPr>
        <w:t>:</w:t>
      </w:r>
    </w:p>
    <w:p w:rsidR="0002431B" w:rsidRPr="00AA6642" w:rsidRDefault="00AD4EB1" w:rsidP="00984EDB">
      <w:pPr>
        <w:pStyle w:val="ListParagraph"/>
        <w:numPr>
          <w:ilvl w:val="0"/>
          <w:numId w:val="16"/>
        </w:numPr>
        <w:rPr>
          <w:lang w:val="lv-LV"/>
        </w:rPr>
      </w:pPr>
      <w:r w:rsidRPr="00AA6642">
        <w:rPr>
          <w:lang w:val="lv-LV"/>
        </w:rPr>
        <w:t>B</w:t>
      </w:r>
      <w:r w:rsidR="00236793" w:rsidRPr="00AA6642">
        <w:rPr>
          <w:lang w:val="lv-LV"/>
        </w:rPr>
        <w:t>ūt klāt</w:t>
      </w:r>
    </w:p>
    <w:p w:rsidR="0002431B" w:rsidRPr="00AA6642" w:rsidRDefault="00236793" w:rsidP="00984EDB">
      <w:pPr>
        <w:pStyle w:val="ListParagraph"/>
        <w:numPr>
          <w:ilvl w:val="0"/>
          <w:numId w:val="16"/>
        </w:numPr>
        <w:rPr>
          <w:lang w:val="lv-LV"/>
        </w:rPr>
      </w:pPr>
      <w:r w:rsidRPr="00AA6642">
        <w:rPr>
          <w:lang w:val="lv-LV"/>
        </w:rPr>
        <w:t xml:space="preserve">Drošs </w:t>
      </w:r>
      <w:r w:rsidR="00F52624" w:rsidRPr="00AA6642">
        <w:rPr>
          <w:lang w:val="lv-LV"/>
        </w:rPr>
        <w:t>konsenss</w:t>
      </w:r>
    </w:p>
    <w:p w:rsidR="0002431B" w:rsidRPr="00AA6642" w:rsidRDefault="00236793" w:rsidP="00984EDB">
      <w:pPr>
        <w:pStyle w:val="ListParagraph"/>
        <w:numPr>
          <w:ilvl w:val="0"/>
          <w:numId w:val="16"/>
        </w:numPr>
        <w:rPr>
          <w:lang w:val="lv-LV"/>
        </w:rPr>
      </w:pPr>
      <w:r w:rsidRPr="00AA6642">
        <w:rPr>
          <w:lang w:val="lv-LV"/>
        </w:rPr>
        <w:t>Uzturēt ritmu un virzienu</w:t>
      </w:r>
    </w:p>
    <w:p w:rsidR="0002431B" w:rsidRPr="00AA6642" w:rsidRDefault="00236793" w:rsidP="00984EDB">
      <w:pPr>
        <w:pStyle w:val="ListParagraph"/>
        <w:numPr>
          <w:ilvl w:val="0"/>
          <w:numId w:val="16"/>
        </w:numPr>
        <w:rPr>
          <w:lang w:val="lv-LV"/>
        </w:rPr>
      </w:pPr>
      <w:r w:rsidRPr="00AA6642">
        <w:rPr>
          <w:lang w:val="lv-LV"/>
        </w:rPr>
        <w:t>Vajadzības ir izgudrojumu māte</w:t>
      </w:r>
    </w:p>
    <w:p w:rsidR="0002431B" w:rsidRPr="00AA6642" w:rsidRDefault="00236793" w:rsidP="00E711EC">
      <w:pPr>
        <w:spacing w:after="0"/>
        <w:rPr>
          <w:b/>
          <w:lang w:val="lv-LV"/>
        </w:rPr>
      </w:pPr>
      <w:r w:rsidRPr="00AA6642">
        <w:rPr>
          <w:b/>
          <w:lang w:val="lv-LV"/>
        </w:rPr>
        <w:t>Konceptuālā dimensija</w:t>
      </w:r>
      <w:r w:rsidR="00AD4EB1" w:rsidRPr="00AA6642">
        <w:rPr>
          <w:b/>
          <w:lang w:val="lv-LV"/>
        </w:rPr>
        <w:t>:</w:t>
      </w:r>
    </w:p>
    <w:p w:rsidR="0002431B" w:rsidRPr="00AA6642" w:rsidRDefault="00236793" w:rsidP="00984EDB">
      <w:pPr>
        <w:pStyle w:val="ListParagraph"/>
        <w:numPr>
          <w:ilvl w:val="0"/>
          <w:numId w:val="16"/>
        </w:numPr>
        <w:rPr>
          <w:lang w:val="lv-LV"/>
        </w:rPr>
      </w:pPr>
      <w:r w:rsidRPr="00AA6642">
        <w:rPr>
          <w:lang w:val="lv-LV"/>
        </w:rPr>
        <w:t>Nebūt klāt</w:t>
      </w:r>
    </w:p>
    <w:p w:rsidR="0002431B" w:rsidRPr="00AA6642" w:rsidRDefault="00236793" w:rsidP="00984EDB">
      <w:pPr>
        <w:pStyle w:val="ListParagraph"/>
        <w:numPr>
          <w:ilvl w:val="0"/>
          <w:numId w:val="16"/>
        </w:numPr>
        <w:rPr>
          <w:lang w:val="lv-LV"/>
        </w:rPr>
      </w:pPr>
      <w:r w:rsidRPr="00AA6642">
        <w:rPr>
          <w:lang w:val="lv-LV"/>
        </w:rPr>
        <w:t>Radīt nepārprotamas atšķirības</w:t>
      </w:r>
    </w:p>
    <w:p w:rsidR="0002431B" w:rsidRPr="00AA6642" w:rsidRDefault="00236793" w:rsidP="00984EDB">
      <w:pPr>
        <w:pStyle w:val="ListParagraph"/>
        <w:numPr>
          <w:ilvl w:val="0"/>
          <w:numId w:val="16"/>
        </w:numPr>
        <w:rPr>
          <w:lang w:val="lv-LV"/>
        </w:rPr>
      </w:pPr>
      <w:r w:rsidRPr="00AA6642">
        <w:rPr>
          <w:lang w:val="lv-LV"/>
        </w:rPr>
        <w:t>Izpētīt, izstrādāt, secināt</w:t>
      </w:r>
    </w:p>
    <w:p w:rsidR="0002431B" w:rsidRPr="00AA6642" w:rsidRDefault="0002431B" w:rsidP="00984EDB">
      <w:pPr>
        <w:pStyle w:val="ListParagraph"/>
        <w:numPr>
          <w:ilvl w:val="0"/>
          <w:numId w:val="16"/>
        </w:numPr>
        <w:rPr>
          <w:lang w:val="lv-LV"/>
        </w:rPr>
      </w:pPr>
      <w:r w:rsidRPr="00AA6642">
        <w:rPr>
          <w:lang w:val="lv-LV"/>
        </w:rPr>
        <w:t>“</w:t>
      </w:r>
      <w:r w:rsidR="00236793" w:rsidRPr="00AA6642">
        <w:rPr>
          <w:lang w:val="lv-LV"/>
        </w:rPr>
        <w:t>vienoti dažādībā</w:t>
      </w:r>
      <w:r w:rsidRPr="00AA6642">
        <w:rPr>
          <w:lang w:val="lv-LV"/>
        </w:rPr>
        <w:t>”</w:t>
      </w:r>
    </w:p>
    <w:p w:rsidR="0002431B" w:rsidRPr="00AA6642" w:rsidRDefault="00236793" w:rsidP="00984EDB">
      <w:pPr>
        <w:pStyle w:val="ListParagraph"/>
        <w:numPr>
          <w:ilvl w:val="0"/>
          <w:numId w:val="16"/>
        </w:numPr>
        <w:rPr>
          <w:lang w:val="lv-LV"/>
        </w:rPr>
      </w:pPr>
      <w:r w:rsidRPr="00AA6642">
        <w:rPr>
          <w:lang w:val="lv-LV"/>
        </w:rPr>
        <w:t>Pieņemt kultūru</w:t>
      </w:r>
    </w:p>
    <w:p w:rsidR="0002431B" w:rsidRPr="00AA6642" w:rsidRDefault="00236793" w:rsidP="00984EDB">
      <w:pPr>
        <w:pStyle w:val="ListParagraph"/>
        <w:numPr>
          <w:ilvl w:val="0"/>
          <w:numId w:val="16"/>
        </w:numPr>
        <w:rPr>
          <w:lang w:val="lv-LV"/>
        </w:rPr>
      </w:pPr>
      <w:r w:rsidRPr="00AA6642">
        <w:rPr>
          <w:lang w:val="lv-LV"/>
        </w:rPr>
        <w:t>Pārstāvēt sociālo ekonomiku</w:t>
      </w:r>
    </w:p>
    <w:p w:rsidR="0002431B" w:rsidRPr="00AA6642" w:rsidRDefault="00236793" w:rsidP="00E711EC">
      <w:pPr>
        <w:spacing w:after="0"/>
        <w:rPr>
          <w:b/>
          <w:lang w:val="lv-LV"/>
        </w:rPr>
      </w:pPr>
      <w:r w:rsidRPr="00AA6642">
        <w:rPr>
          <w:b/>
          <w:lang w:val="lv-LV"/>
        </w:rPr>
        <w:t>Darbības dimensija</w:t>
      </w:r>
      <w:r w:rsidR="0002431B" w:rsidRPr="00AA6642">
        <w:rPr>
          <w:b/>
          <w:lang w:val="lv-LV"/>
        </w:rPr>
        <w:t>:</w:t>
      </w:r>
    </w:p>
    <w:p w:rsidR="0002431B" w:rsidRPr="00AA6642" w:rsidRDefault="00EB33A2" w:rsidP="00984EDB">
      <w:pPr>
        <w:pStyle w:val="ListParagraph"/>
        <w:numPr>
          <w:ilvl w:val="0"/>
          <w:numId w:val="16"/>
        </w:numPr>
        <w:rPr>
          <w:lang w:val="lv-LV"/>
        </w:rPr>
      </w:pPr>
      <w:r w:rsidRPr="00AA6642">
        <w:rPr>
          <w:lang w:val="lv-LV"/>
        </w:rPr>
        <w:t>Mandāts</w:t>
      </w:r>
    </w:p>
    <w:p w:rsidR="0002431B" w:rsidRPr="00AA6642" w:rsidRDefault="001067DC" w:rsidP="00984EDB">
      <w:pPr>
        <w:pStyle w:val="ListParagraph"/>
        <w:numPr>
          <w:ilvl w:val="0"/>
          <w:numId w:val="16"/>
        </w:numPr>
        <w:rPr>
          <w:lang w:val="lv-LV"/>
        </w:rPr>
      </w:pPr>
      <w:r w:rsidRPr="00AA6642">
        <w:rPr>
          <w:lang w:val="lv-LV"/>
        </w:rPr>
        <w:t>Ļaujiet runāt skaitļiem</w:t>
      </w:r>
    </w:p>
    <w:p w:rsidR="0002431B" w:rsidRPr="00AA6642" w:rsidRDefault="001067DC" w:rsidP="00984EDB">
      <w:pPr>
        <w:pStyle w:val="ListParagraph"/>
        <w:numPr>
          <w:ilvl w:val="0"/>
          <w:numId w:val="16"/>
        </w:numPr>
        <w:rPr>
          <w:lang w:val="lv-LV"/>
        </w:rPr>
      </w:pPr>
      <w:r w:rsidRPr="00AA6642">
        <w:rPr>
          <w:lang w:val="lv-LV"/>
        </w:rPr>
        <w:t>Vārdi motivē, piemēri aktivē</w:t>
      </w:r>
    </w:p>
    <w:p w:rsidR="0002431B" w:rsidRPr="00AA6642" w:rsidRDefault="001067DC" w:rsidP="00984EDB">
      <w:pPr>
        <w:pStyle w:val="ListParagraph"/>
        <w:numPr>
          <w:ilvl w:val="0"/>
          <w:numId w:val="16"/>
        </w:numPr>
        <w:rPr>
          <w:lang w:val="lv-LV"/>
        </w:rPr>
      </w:pPr>
      <w:r w:rsidRPr="00AA6642">
        <w:rPr>
          <w:lang w:val="lv-LV"/>
        </w:rPr>
        <w:t>Atzīt un ignorēt teritorijas</w:t>
      </w:r>
    </w:p>
    <w:p w:rsidR="0002431B" w:rsidRPr="00AA6642" w:rsidRDefault="001067DC" w:rsidP="00984EDB">
      <w:pPr>
        <w:pStyle w:val="ListParagraph"/>
        <w:numPr>
          <w:ilvl w:val="0"/>
          <w:numId w:val="16"/>
        </w:numPr>
        <w:rPr>
          <w:lang w:val="lv-LV"/>
        </w:rPr>
      </w:pPr>
      <w:r w:rsidRPr="00AA6642">
        <w:rPr>
          <w:lang w:val="lv-LV"/>
        </w:rPr>
        <w:t>Sekot procedūrām</w:t>
      </w:r>
    </w:p>
    <w:p w:rsidR="0002431B" w:rsidRPr="00AA6642" w:rsidRDefault="00443049" w:rsidP="009437F1">
      <w:pPr>
        <w:pStyle w:val="Heading2"/>
        <w:rPr>
          <w:lang w:val="lv-LV"/>
        </w:rPr>
      </w:pPr>
      <w:bookmarkStart w:id="41" w:name="_Toc443312618"/>
      <w:bookmarkStart w:id="42" w:name="_Toc444090589"/>
      <w:r w:rsidRPr="00AA6642">
        <w:rPr>
          <w:lang w:val="lv-LV"/>
        </w:rPr>
        <w:t>I</w:t>
      </w:r>
      <w:r w:rsidR="00AD4EB1" w:rsidRPr="00AA6642">
        <w:rPr>
          <w:lang w:val="lv-LV"/>
        </w:rPr>
        <w:t xml:space="preserve">V.2.5 </w:t>
      </w:r>
      <w:r w:rsidR="001067DC" w:rsidRPr="00AA6642">
        <w:rPr>
          <w:lang w:val="lv-LV"/>
        </w:rPr>
        <w:t xml:space="preserve">Darbības, izstrādājot ieinteresēto pušu pieeju </w:t>
      </w:r>
      <w:bookmarkEnd w:id="41"/>
      <w:bookmarkEnd w:id="42"/>
    </w:p>
    <w:p w:rsidR="0002431B" w:rsidRPr="00AA6642" w:rsidRDefault="001067DC" w:rsidP="00936B86">
      <w:pPr>
        <w:rPr>
          <w:lang w:val="lv-LV"/>
        </w:rPr>
      </w:pPr>
      <w:r w:rsidRPr="00AA6642">
        <w:rPr>
          <w:b/>
          <w:lang w:val="lv-LV"/>
        </w:rPr>
        <w:t>Ieinteresēto pušu vadība</w:t>
      </w:r>
      <w:r w:rsidRPr="00AA6642">
        <w:rPr>
          <w:lang w:val="lv-LV"/>
        </w:rPr>
        <w:t>: līdzsvaro dažādu ieinteresēto pušu dažādas perspektīvas</w:t>
      </w:r>
    </w:p>
    <w:p w:rsidR="001067DC" w:rsidRPr="00AA6642" w:rsidRDefault="001067DC" w:rsidP="001067DC">
      <w:pPr>
        <w:pStyle w:val="ListParagraph"/>
        <w:numPr>
          <w:ilvl w:val="0"/>
          <w:numId w:val="16"/>
        </w:numPr>
        <w:rPr>
          <w:lang w:val="lv-LV"/>
        </w:rPr>
      </w:pPr>
      <w:r w:rsidRPr="00AA6642">
        <w:rPr>
          <w:b/>
          <w:lang w:val="lv-LV"/>
        </w:rPr>
        <w:t xml:space="preserve">Atzīmēt </w:t>
      </w:r>
      <w:r w:rsidRPr="00AA6642">
        <w:rPr>
          <w:lang w:val="lv-LV"/>
        </w:rPr>
        <w:t xml:space="preserve">dažādu ieinteresēto pušu </w:t>
      </w:r>
      <w:r w:rsidRPr="00AA6642">
        <w:rPr>
          <w:b/>
          <w:lang w:val="lv-LV"/>
        </w:rPr>
        <w:t>cerības</w:t>
      </w:r>
      <w:r w:rsidRPr="00AA6642">
        <w:rPr>
          <w:lang w:val="lv-LV"/>
        </w:rPr>
        <w:t xml:space="preserve"> (mērķi un uzdevumi)</w:t>
      </w:r>
    </w:p>
    <w:p w:rsidR="001067DC" w:rsidRPr="00AA6642" w:rsidRDefault="001067DC" w:rsidP="001067DC">
      <w:pPr>
        <w:pStyle w:val="ListParagraph"/>
        <w:numPr>
          <w:ilvl w:val="0"/>
          <w:numId w:val="16"/>
        </w:numPr>
        <w:rPr>
          <w:lang w:val="lv-LV"/>
        </w:rPr>
      </w:pPr>
      <w:r w:rsidRPr="00AA6642">
        <w:rPr>
          <w:b/>
          <w:lang w:val="lv-LV"/>
        </w:rPr>
        <w:t>Izvēlieties dialoga tehniku</w:t>
      </w:r>
      <w:r w:rsidRPr="00AA6642">
        <w:rPr>
          <w:lang w:val="lv-LV"/>
        </w:rPr>
        <w:t xml:space="preserve"> (vēstules, telefona kontakti, sēdes, strukturāli kontakti ...)</w:t>
      </w:r>
    </w:p>
    <w:p w:rsidR="001067DC" w:rsidRPr="00AA6642" w:rsidRDefault="001067DC" w:rsidP="001067DC">
      <w:pPr>
        <w:pStyle w:val="ListParagraph"/>
        <w:numPr>
          <w:ilvl w:val="0"/>
          <w:numId w:val="16"/>
        </w:numPr>
        <w:rPr>
          <w:lang w:val="lv-LV"/>
        </w:rPr>
      </w:pPr>
      <w:r w:rsidRPr="00AA6642">
        <w:rPr>
          <w:b/>
          <w:lang w:val="lv-LV"/>
        </w:rPr>
        <w:lastRenderedPageBreak/>
        <w:t>Nodrošināt atgriezenisko saiti</w:t>
      </w:r>
      <w:r w:rsidRPr="00AA6642">
        <w:rPr>
          <w:lang w:val="lv-LV"/>
        </w:rPr>
        <w:t>: vai cilvēki piekrīt tam, ko jūs identificējat kā vajadzības un dialoga metodei?</w:t>
      </w:r>
    </w:p>
    <w:p w:rsidR="001067DC" w:rsidRPr="00AA6642" w:rsidRDefault="00125B24" w:rsidP="001067DC">
      <w:pPr>
        <w:pStyle w:val="ListParagraph"/>
        <w:numPr>
          <w:ilvl w:val="0"/>
          <w:numId w:val="16"/>
        </w:numPr>
        <w:rPr>
          <w:lang w:val="lv-LV"/>
        </w:rPr>
      </w:pPr>
      <w:r w:rsidRPr="00AA6642">
        <w:rPr>
          <w:b/>
          <w:lang w:val="lv-LV"/>
        </w:rPr>
        <w:t>R</w:t>
      </w:r>
      <w:r w:rsidR="001067DC" w:rsidRPr="00AA6642">
        <w:rPr>
          <w:b/>
          <w:lang w:val="lv-LV"/>
        </w:rPr>
        <w:t xml:space="preserve">ezultātu </w:t>
      </w:r>
      <w:r w:rsidRPr="00AA6642">
        <w:rPr>
          <w:b/>
          <w:lang w:val="lv-LV"/>
        </w:rPr>
        <w:t>īstenošana</w:t>
      </w:r>
      <w:r w:rsidRPr="00AA6642">
        <w:rPr>
          <w:lang w:val="lv-LV"/>
        </w:rPr>
        <w:t xml:space="preserve"> </w:t>
      </w:r>
      <w:r w:rsidR="001067DC" w:rsidRPr="00AA6642">
        <w:rPr>
          <w:lang w:val="lv-LV"/>
        </w:rPr>
        <w:t>(par dialogu un atgriez</w:t>
      </w:r>
      <w:r w:rsidRPr="00AA6642">
        <w:rPr>
          <w:lang w:val="lv-LV"/>
        </w:rPr>
        <w:t xml:space="preserve">enisko saiti) no ieejas / </w:t>
      </w:r>
      <w:r w:rsidR="00F52624" w:rsidRPr="00AA6642">
        <w:rPr>
          <w:lang w:val="lv-LV"/>
        </w:rPr>
        <w:t>ieguldījumu</w:t>
      </w:r>
      <w:r w:rsidRPr="00AA6642">
        <w:rPr>
          <w:lang w:val="lv-LV"/>
        </w:rPr>
        <w:t xml:space="preserve"> nozīme,  ieinteresēto pušu viedokļa</w:t>
      </w:r>
      <w:r w:rsidR="001067DC" w:rsidRPr="00AA6642">
        <w:rPr>
          <w:lang w:val="lv-LV"/>
        </w:rPr>
        <w:t xml:space="preserve"> / konsul</w:t>
      </w:r>
      <w:r w:rsidRPr="00AA6642">
        <w:rPr>
          <w:lang w:val="lv-LV"/>
        </w:rPr>
        <w:t xml:space="preserve">tācijas / lēmumu / koplēmumu </w:t>
      </w:r>
      <w:r w:rsidR="001067DC" w:rsidRPr="00AA6642">
        <w:rPr>
          <w:lang w:val="lv-LV"/>
        </w:rPr>
        <w:t xml:space="preserve"> </w:t>
      </w:r>
      <w:r w:rsidRPr="00AA6642">
        <w:rPr>
          <w:lang w:val="lv-LV"/>
        </w:rPr>
        <w:t>vērtība</w:t>
      </w:r>
    </w:p>
    <w:p w:rsidR="0002431B" w:rsidRPr="00AA6642" w:rsidRDefault="00125B24" w:rsidP="00125B24">
      <w:pPr>
        <w:pStyle w:val="ListParagraph"/>
        <w:numPr>
          <w:ilvl w:val="0"/>
          <w:numId w:val="16"/>
        </w:numPr>
        <w:rPr>
          <w:lang w:val="lv-LV"/>
        </w:rPr>
      </w:pPr>
      <w:r w:rsidRPr="00AA6642">
        <w:rPr>
          <w:b/>
          <w:lang w:val="lv-LV"/>
        </w:rPr>
        <w:t>Izstrādāt rādītājus</w:t>
      </w:r>
      <w:r w:rsidRPr="00AA6642">
        <w:rPr>
          <w:lang w:val="lv-LV"/>
        </w:rPr>
        <w:t>, lai novērtētu, kādā veidā rezultāti tika īstenoti</w:t>
      </w:r>
    </w:p>
    <w:p w:rsidR="0002431B" w:rsidRPr="00AA6642" w:rsidRDefault="00443049" w:rsidP="009437F1">
      <w:pPr>
        <w:pStyle w:val="Heading2"/>
        <w:rPr>
          <w:lang w:val="lv-LV"/>
        </w:rPr>
      </w:pPr>
      <w:bookmarkStart w:id="43" w:name="_Toc443312619"/>
      <w:bookmarkStart w:id="44" w:name="_Toc444090590"/>
      <w:r w:rsidRPr="00AA6642">
        <w:rPr>
          <w:lang w:val="lv-LV"/>
        </w:rPr>
        <w:t>I</w:t>
      </w:r>
      <w:r w:rsidR="00AD4EB1" w:rsidRPr="00AA6642">
        <w:rPr>
          <w:lang w:val="lv-LV"/>
        </w:rPr>
        <w:t>V</w:t>
      </w:r>
      <w:r w:rsidR="0002431B" w:rsidRPr="00AA6642">
        <w:rPr>
          <w:lang w:val="lv-LV"/>
        </w:rPr>
        <w:t>.</w:t>
      </w:r>
      <w:r w:rsidR="00AD4EB1" w:rsidRPr="00AA6642">
        <w:rPr>
          <w:lang w:val="lv-LV"/>
        </w:rPr>
        <w:t>2.</w:t>
      </w:r>
      <w:r w:rsidR="0002431B" w:rsidRPr="00AA6642">
        <w:rPr>
          <w:lang w:val="lv-LV"/>
        </w:rPr>
        <w:t xml:space="preserve">6 </w:t>
      </w:r>
      <w:r w:rsidR="00125B24" w:rsidRPr="00AA6642">
        <w:rPr>
          <w:lang w:val="lv-LV"/>
        </w:rPr>
        <w:t>Eiropas sadarbības tīklu piemēri</w:t>
      </w:r>
      <w:r w:rsidR="0002431B" w:rsidRPr="00AA6642">
        <w:rPr>
          <w:lang w:val="lv-LV"/>
        </w:rPr>
        <w:t xml:space="preserve"> (1/7)</w:t>
      </w:r>
      <w:bookmarkEnd w:id="43"/>
      <w:bookmarkEnd w:id="44"/>
    </w:p>
    <w:p w:rsidR="00AD4EB1" w:rsidRPr="00AA6642" w:rsidRDefault="00125B24" w:rsidP="00E711EC">
      <w:pPr>
        <w:pStyle w:val="ListParagraph"/>
        <w:ind w:left="0"/>
        <w:rPr>
          <w:lang w:val="lv-LV"/>
        </w:rPr>
      </w:pPr>
      <w:r w:rsidRPr="00AA6642">
        <w:rPr>
          <w:lang w:val="lv-LV"/>
        </w:rPr>
        <w:t xml:space="preserve">Eiropas līmenī ir vairākas “jumta” </w:t>
      </w:r>
      <w:r w:rsidR="0002431B" w:rsidRPr="00AA6642">
        <w:rPr>
          <w:lang w:val="lv-LV"/>
        </w:rPr>
        <w:t xml:space="preserve"> (</w:t>
      </w:r>
      <w:r w:rsidRPr="00AA6642">
        <w:rPr>
          <w:lang w:val="lv-LV"/>
        </w:rPr>
        <w:t>asociāciju apvienības</w:t>
      </w:r>
      <w:r w:rsidR="0002431B" w:rsidRPr="00AA6642">
        <w:rPr>
          <w:lang w:val="lv-LV"/>
        </w:rPr>
        <w:t xml:space="preserve">) </w:t>
      </w:r>
      <w:r w:rsidRPr="00AA6642">
        <w:rPr>
          <w:lang w:val="lv-LV"/>
        </w:rPr>
        <w:t>nevalstiskas organizācijas (NVO</w:t>
      </w:r>
      <w:r w:rsidR="00AD4EB1" w:rsidRPr="00AA6642">
        <w:rPr>
          <w:lang w:val="lv-LV"/>
        </w:rPr>
        <w:t>)</w:t>
      </w:r>
      <w:r w:rsidRPr="00AA6642">
        <w:rPr>
          <w:lang w:val="lv-LV"/>
        </w:rPr>
        <w:t>, kurām ir nozīmīga loma un ietekme.</w:t>
      </w:r>
      <w:r w:rsidR="00AD4EB1" w:rsidRPr="00AA6642">
        <w:rPr>
          <w:lang w:val="lv-LV"/>
        </w:rPr>
        <w:t xml:space="preserve"> </w:t>
      </w:r>
      <w:r w:rsidRPr="00AA6642">
        <w:rPr>
          <w:lang w:val="lv-LV"/>
        </w:rPr>
        <w:t>3 piemēri</w:t>
      </w:r>
      <w:r w:rsidR="0002431B" w:rsidRPr="00AA6642">
        <w:rPr>
          <w:lang w:val="lv-LV"/>
        </w:rPr>
        <w:t>:</w:t>
      </w:r>
    </w:p>
    <w:p w:rsidR="00AD4EB1" w:rsidRPr="00AA6642" w:rsidRDefault="0002431B" w:rsidP="00984EDB">
      <w:pPr>
        <w:pStyle w:val="ListParagraph"/>
        <w:numPr>
          <w:ilvl w:val="0"/>
          <w:numId w:val="28"/>
        </w:numPr>
        <w:rPr>
          <w:lang w:val="lv-LV"/>
        </w:rPr>
      </w:pPr>
      <w:r w:rsidRPr="00AA6642">
        <w:rPr>
          <w:lang w:val="lv-LV"/>
        </w:rPr>
        <w:t>Inclusion Europe</w:t>
      </w:r>
      <w:r w:rsidR="00125B24" w:rsidRPr="00AA6642">
        <w:rPr>
          <w:lang w:val="lv-LV"/>
        </w:rPr>
        <w:t xml:space="preserve"> (Iekļaujoša Eiropa)</w:t>
      </w:r>
    </w:p>
    <w:p w:rsidR="00AD4EB1" w:rsidRPr="00AA6642" w:rsidRDefault="0002431B" w:rsidP="00984EDB">
      <w:pPr>
        <w:pStyle w:val="ListParagraph"/>
        <w:numPr>
          <w:ilvl w:val="0"/>
          <w:numId w:val="28"/>
        </w:numPr>
        <w:rPr>
          <w:lang w:val="lv-LV"/>
        </w:rPr>
      </w:pPr>
      <w:r w:rsidRPr="00AA6642">
        <w:rPr>
          <w:lang w:val="lv-LV"/>
        </w:rPr>
        <w:t>European Disability Forum</w:t>
      </w:r>
      <w:r w:rsidR="00125B24" w:rsidRPr="00AA6642">
        <w:rPr>
          <w:lang w:val="lv-LV"/>
        </w:rPr>
        <w:t xml:space="preserve"> (Eiropas Invaliditātes Forums)</w:t>
      </w:r>
    </w:p>
    <w:p w:rsidR="0002431B" w:rsidRPr="00AA6642" w:rsidRDefault="0002431B" w:rsidP="00984EDB">
      <w:pPr>
        <w:pStyle w:val="ListParagraph"/>
        <w:numPr>
          <w:ilvl w:val="0"/>
          <w:numId w:val="28"/>
        </w:numPr>
        <w:rPr>
          <w:lang w:val="lv-LV"/>
        </w:rPr>
      </w:pPr>
      <w:r w:rsidRPr="00AA6642">
        <w:rPr>
          <w:lang w:val="lv-LV"/>
        </w:rPr>
        <w:t>Mental Health Europe</w:t>
      </w:r>
      <w:r w:rsidR="00125B24" w:rsidRPr="00AA6642">
        <w:rPr>
          <w:lang w:val="lv-LV"/>
        </w:rPr>
        <w:t xml:space="preserve"> (Garīgā veselība Eiropa)</w:t>
      </w:r>
    </w:p>
    <w:p w:rsidR="00125B24" w:rsidRPr="00AA6642" w:rsidRDefault="0002431B" w:rsidP="00125B24">
      <w:pPr>
        <w:spacing w:after="0"/>
        <w:rPr>
          <w:b/>
          <w:u w:val="single"/>
          <w:lang w:val="lv-LV"/>
        </w:rPr>
      </w:pPr>
      <w:r w:rsidRPr="00AA6642">
        <w:rPr>
          <w:b/>
          <w:u w:val="single"/>
          <w:lang w:val="lv-LV"/>
        </w:rPr>
        <w:t xml:space="preserve">Inclusion Europe – </w:t>
      </w:r>
      <w:r w:rsidR="00125B24" w:rsidRPr="00AA6642">
        <w:rPr>
          <w:b/>
          <w:u w:val="single"/>
          <w:lang w:val="lv-LV"/>
        </w:rPr>
        <w:t xml:space="preserve">Eiropas personu ar intelektuālās attīstības traucējumiem un viņu ģimeņu asociācija </w:t>
      </w:r>
    </w:p>
    <w:p w:rsidR="00125B24" w:rsidRPr="00AA6642" w:rsidRDefault="00125B24" w:rsidP="00125B24">
      <w:pPr>
        <w:spacing w:after="0"/>
        <w:rPr>
          <w:b/>
          <w:u w:val="single"/>
          <w:lang w:val="lv-LV"/>
        </w:rPr>
      </w:pPr>
    </w:p>
    <w:p w:rsidR="0002431B" w:rsidRPr="00AA6642" w:rsidRDefault="00125B24" w:rsidP="00125B24">
      <w:pPr>
        <w:spacing w:after="0"/>
        <w:rPr>
          <w:lang w:val="lv-LV"/>
        </w:rPr>
      </w:pPr>
      <w:r w:rsidRPr="00AA6642">
        <w:rPr>
          <w:lang w:val="lv-LV"/>
        </w:rPr>
        <w:t>Formāli dibināta kā nevalstiska organizācija 1988.gada maijā.</w:t>
      </w:r>
    </w:p>
    <w:p w:rsidR="00125B24" w:rsidRPr="00AA6642" w:rsidRDefault="00F52624" w:rsidP="00125B24">
      <w:pPr>
        <w:pStyle w:val="ListParagraph"/>
        <w:numPr>
          <w:ilvl w:val="0"/>
          <w:numId w:val="29"/>
        </w:numPr>
        <w:rPr>
          <w:lang w:val="lv-LV"/>
        </w:rPr>
      </w:pPr>
      <w:r w:rsidRPr="00AA6642">
        <w:rPr>
          <w:lang w:val="lv-LV"/>
        </w:rPr>
        <w:t>Organizācija a</w:t>
      </w:r>
      <w:r w:rsidR="00125B24" w:rsidRPr="00AA6642">
        <w:rPr>
          <w:lang w:val="lv-LV"/>
        </w:rPr>
        <w:t>pņēmu</w:t>
      </w:r>
      <w:r w:rsidRPr="00AA6642">
        <w:rPr>
          <w:lang w:val="lv-LV"/>
        </w:rPr>
        <w:t xml:space="preserve">sies aizstāvēt </w:t>
      </w:r>
      <w:r w:rsidRPr="00AA6642">
        <w:rPr>
          <w:b/>
          <w:lang w:val="lv-LV"/>
        </w:rPr>
        <w:t>cilvēku ar intelektuālās attīstības traucējumiem un viņu ģimeņu</w:t>
      </w:r>
      <w:r w:rsidRPr="00AA6642">
        <w:rPr>
          <w:lang w:val="lv-LV"/>
        </w:rPr>
        <w:t xml:space="preserve"> </w:t>
      </w:r>
      <w:r w:rsidR="00125B24" w:rsidRPr="00AA6642">
        <w:rPr>
          <w:lang w:val="lv-LV"/>
        </w:rPr>
        <w:t>cilvēktiesības un intere</w:t>
      </w:r>
      <w:r w:rsidRPr="00AA6642">
        <w:rPr>
          <w:lang w:val="lv-LV"/>
        </w:rPr>
        <w:t>ses</w:t>
      </w:r>
      <w:r w:rsidR="00125B24" w:rsidRPr="00AA6642">
        <w:rPr>
          <w:lang w:val="lv-LV"/>
        </w:rPr>
        <w:t xml:space="preserve"> </w:t>
      </w:r>
      <w:r w:rsidRPr="00AA6642">
        <w:rPr>
          <w:lang w:val="lv-LV"/>
        </w:rPr>
        <w:t>Eiropā/pasaulē</w:t>
      </w:r>
    </w:p>
    <w:p w:rsidR="00F52624" w:rsidRPr="00AA6642" w:rsidRDefault="00F52624" w:rsidP="00F52624">
      <w:pPr>
        <w:pStyle w:val="ListParagraph"/>
        <w:rPr>
          <w:lang w:val="lv-LV"/>
        </w:rPr>
      </w:pPr>
    </w:p>
    <w:p w:rsidR="0002431B" w:rsidRPr="00AA6642" w:rsidRDefault="00F52624" w:rsidP="00936B86">
      <w:pPr>
        <w:pStyle w:val="ListParagraph"/>
        <w:rPr>
          <w:b/>
          <w:lang w:val="lv-LV"/>
        </w:rPr>
      </w:pPr>
      <w:r w:rsidRPr="00AA6642">
        <w:rPr>
          <w:b/>
          <w:lang w:val="lv-LV"/>
        </w:rPr>
        <w:t>Organizācijas struktūra:</w:t>
      </w:r>
    </w:p>
    <w:p w:rsidR="0002431B" w:rsidRPr="00AA6642" w:rsidRDefault="0002431B" w:rsidP="00984EDB">
      <w:pPr>
        <w:pStyle w:val="ListParagraph"/>
        <w:numPr>
          <w:ilvl w:val="0"/>
          <w:numId w:val="29"/>
        </w:numPr>
        <w:rPr>
          <w:lang w:val="lv-LV"/>
        </w:rPr>
      </w:pPr>
      <w:r w:rsidRPr="00AA6642">
        <w:rPr>
          <w:b/>
          <w:lang w:val="lv-LV"/>
        </w:rPr>
        <w:t>Inclusion International</w:t>
      </w:r>
      <w:r w:rsidRPr="00AA6642">
        <w:rPr>
          <w:lang w:val="lv-LV"/>
        </w:rPr>
        <w:t xml:space="preserve"> </w:t>
      </w:r>
      <w:r w:rsidR="00F52624" w:rsidRPr="00AA6642">
        <w:rPr>
          <w:lang w:val="lv-LV"/>
        </w:rPr>
        <w:t xml:space="preserve">apvieno </w:t>
      </w:r>
      <w:r w:rsidRPr="00AA6642">
        <w:rPr>
          <w:lang w:val="lv-LV"/>
        </w:rPr>
        <w:t xml:space="preserve">31 </w:t>
      </w:r>
      <w:r w:rsidR="00F52624" w:rsidRPr="00AA6642">
        <w:rPr>
          <w:lang w:val="lv-LV"/>
        </w:rPr>
        <w:t>biedrus un sadarbības organizācijas</w:t>
      </w:r>
      <w:r w:rsidRPr="00AA6642">
        <w:rPr>
          <w:lang w:val="lv-LV"/>
        </w:rPr>
        <w:t xml:space="preserve"> 30 </w:t>
      </w:r>
      <w:r w:rsidR="00F52624" w:rsidRPr="00AA6642">
        <w:rPr>
          <w:lang w:val="lv-LV"/>
        </w:rPr>
        <w:t>valstīs</w:t>
      </w:r>
    </w:p>
    <w:p w:rsidR="00F52624" w:rsidRPr="00AA6642" w:rsidRDefault="00F52624" w:rsidP="00984EDB">
      <w:pPr>
        <w:pStyle w:val="ListParagraph"/>
        <w:numPr>
          <w:ilvl w:val="0"/>
          <w:numId w:val="29"/>
        </w:numPr>
        <w:rPr>
          <w:lang w:val="lv-LV"/>
        </w:rPr>
      </w:pPr>
      <w:r w:rsidRPr="00AA6642">
        <w:rPr>
          <w:lang w:val="lv-LV"/>
        </w:rPr>
        <w:t>Inclusion International ir dibināta 1960.gadā, un cīnās par cilvēku ar intelektuālās attīstības traucējumiem un viņu ģimeņu cilvēktiesībām un sociālo taisnīgumu, ir tuvs sadarbības partneris Apvienoto Nāciju Organizācijai un tās aģentūrām.</w:t>
      </w:r>
    </w:p>
    <w:p w:rsidR="00F52624" w:rsidRPr="00AA6642" w:rsidRDefault="00F52624" w:rsidP="00F52624">
      <w:pPr>
        <w:pStyle w:val="ListParagraph"/>
        <w:rPr>
          <w:lang w:val="lv-LV"/>
        </w:rPr>
      </w:pPr>
    </w:p>
    <w:p w:rsidR="0002431B" w:rsidRPr="00AA6642" w:rsidRDefault="00F52624" w:rsidP="00936B86">
      <w:pPr>
        <w:pStyle w:val="ListParagraph"/>
        <w:rPr>
          <w:lang w:val="lv-LV"/>
        </w:rPr>
      </w:pPr>
      <w:r w:rsidRPr="00AA6642">
        <w:rPr>
          <w:lang w:val="lv-LV"/>
        </w:rPr>
        <w:t>Galvenie mērķi</w:t>
      </w:r>
      <w:r w:rsidR="0002431B" w:rsidRPr="00AA6642">
        <w:rPr>
          <w:lang w:val="lv-LV"/>
        </w:rPr>
        <w:t>:</w:t>
      </w:r>
    </w:p>
    <w:p w:rsidR="00F52624" w:rsidRPr="00AA6642" w:rsidRDefault="00F52624" w:rsidP="00984EDB">
      <w:pPr>
        <w:pStyle w:val="ListParagraph"/>
        <w:numPr>
          <w:ilvl w:val="0"/>
          <w:numId w:val="29"/>
        </w:numPr>
        <w:rPr>
          <w:lang w:val="lv-LV"/>
        </w:rPr>
      </w:pPr>
      <w:r w:rsidRPr="00AA6642">
        <w:rPr>
          <w:lang w:val="lv-LV"/>
        </w:rPr>
        <w:t>Uzlabot cilvēk</w:t>
      </w:r>
      <w:r w:rsidR="00D746C7" w:rsidRPr="00AA6642">
        <w:rPr>
          <w:lang w:val="lv-LV"/>
        </w:rPr>
        <w:t>u</w:t>
      </w:r>
      <w:r w:rsidRPr="00AA6642">
        <w:rPr>
          <w:lang w:val="lv-LV"/>
        </w:rPr>
        <w:t xml:space="preserve"> ar intelektuālās attīstības traucējumiem un viņu ģime</w:t>
      </w:r>
      <w:r w:rsidR="00D746C7" w:rsidRPr="00AA6642">
        <w:rPr>
          <w:lang w:val="lv-LV"/>
        </w:rPr>
        <w:t xml:space="preserve">ņu iespējas </w:t>
      </w:r>
      <w:r w:rsidRPr="00AA6642">
        <w:rPr>
          <w:lang w:val="lv-LV"/>
        </w:rPr>
        <w:t>dzīvot kā p</w:t>
      </w:r>
      <w:r w:rsidR="00D746C7" w:rsidRPr="00AA6642">
        <w:rPr>
          <w:lang w:val="lv-LV"/>
        </w:rPr>
        <w:t>ilnvērtīgiem</w:t>
      </w:r>
      <w:r w:rsidRPr="00AA6642">
        <w:rPr>
          <w:lang w:val="lv-LV"/>
        </w:rPr>
        <w:t xml:space="preserve"> Eiropas pilsoņiem - tiesības uz vienlīdzīgām iespējām un līdzdalību ekonomiskajā un sociālajā attīstībā</w:t>
      </w:r>
    </w:p>
    <w:p w:rsidR="00D746C7" w:rsidRPr="00AA6642" w:rsidRDefault="00D746C7" w:rsidP="00D746C7">
      <w:pPr>
        <w:pStyle w:val="ListParagraph"/>
        <w:numPr>
          <w:ilvl w:val="0"/>
          <w:numId w:val="29"/>
        </w:numPr>
        <w:rPr>
          <w:lang w:val="lv-LV"/>
        </w:rPr>
      </w:pPr>
      <w:r w:rsidRPr="00AA6642">
        <w:rPr>
          <w:lang w:val="lv-LV"/>
        </w:rPr>
        <w:t xml:space="preserve">Veicināt sadarbību &amp; informācijas apmaiņu starp dalīborganizācijām visā Eiropā. </w:t>
      </w:r>
    </w:p>
    <w:p w:rsidR="00D746C7" w:rsidRPr="00AA6642" w:rsidRDefault="00D746C7" w:rsidP="00DD33D9">
      <w:pPr>
        <w:pStyle w:val="ListParagraph"/>
        <w:numPr>
          <w:ilvl w:val="0"/>
          <w:numId w:val="29"/>
        </w:numPr>
        <w:rPr>
          <w:lang w:val="lv-LV"/>
        </w:rPr>
      </w:pPr>
      <w:r w:rsidRPr="00AA6642">
        <w:rPr>
          <w:lang w:val="lv-LV"/>
        </w:rPr>
        <w:t>Sadarboties ar līdzīgi domājošām organizācijām cīņā par sociālo taisnīgumu un cilvēktiesību ievērošanu.</w:t>
      </w:r>
    </w:p>
    <w:p w:rsidR="0002431B" w:rsidRPr="00AA6642" w:rsidRDefault="0002431B" w:rsidP="00936B86">
      <w:pPr>
        <w:pStyle w:val="ListParagraph"/>
        <w:rPr>
          <w:lang w:val="lv-LV"/>
        </w:rPr>
      </w:pPr>
      <w:r w:rsidRPr="00AA6642">
        <w:rPr>
          <w:lang w:val="lv-LV"/>
        </w:rPr>
        <w:t>A</w:t>
      </w:r>
      <w:r w:rsidR="00D746C7" w:rsidRPr="00AA6642">
        <w:rPr>
          <w:lang w:val="lv-LV"/>
        </w:rPr>
        <w:t>ktivitātes</w:t>
      </w:r>
      <w:r w:rsidRPr="00AA6642">
        <w:rPr>
          <w:lang w:val="lv-LV"/>
        </w:rPr>
        <w:t>:</w:t>
      </w:r>
    </w:p>
    <w:p w:rsidR="00D746C7" w:rsidRPr="00AA6642" w:rsidRDefault="00D746C7" w:rsidP="00984EDB">
      <w:pPr>
        <w:pStyle w:val="ListParagraph"/>
        <w:numPr>
          <w:ilvl w:val="0"/>
          <w:numId w:val="29"/>
        </w:numPr>
        <w:rPr>
          <w:lang w:val="lv-LV"/>
        </w:rPr>
      </w:pPr>
      <w:r w:rsidRPr="00AA6642">
        <w:rPr>
          <w:lang w:val="lv-LV"/>
        </w:rPr>
        <w:t>Plašs aktivitāšu klāsts ES dalībvalstu, Centrāleiropas un Austrumeiropas valstu konferencēs</w:t>
      </w:r>
    </w:p>
    <w:p w:rsidR="00D746C7" w:rsidRPr="00AA6642" w:rsidRDefault="00D746C7" w:rsidP="00984EDB">
      <w:pPr>
        <w:pStyle w:val="ListParagraph"/>
        <w:numPr>
          <w:ilvl w:val="0"/>
          <w:numId w:val="29"/>
        </w:numPr>
        <w:rPr>
          <w:lang w:val="lv-LV"/>
        </w:rPr>
      </w:pPr>
      <w:r w:rsidRPr="00AA6642">
        <w:rPr>
          <w:lang w:val="lv-LV"/>
        </w:rPr>
        <w:t>Darba grupas, apmācības, un cita informācija par attiecīgajām tēmām</w:t>
      </w:r>
    </w:p>
    <w:p w:rsidR="00D746C7" w:rsidRPr="00AA6642" w:rsidRDefault="00D746C7" w:rsidP="00984EDB">
      <w:pPr>
        <w:pStyle w:val="ListParagraph"/>
        <w:numPr>
          <w:ilvl w:val="0"/>
          <w:numId w:val="29"/>
        </w:numPr>
        <w:rPr>
          <w:lang w:val="lv-LV"/>
        </w:rPr>
      </w:pPr>
      <w:r w:rsidRPr="00AA6642">
        <w:rPr>
          <w:lang w:val="lv-LV"/>
        </w:rPr>
        <w:lastRenderedPageBreak/>
        <w:t>Salīdzina likumdošanu&amp; pakalpojumus visā Eiropā, un mudina ieviest labāko praksi, lai uzlabotu visu cilvēku ar intelektuālās attīstības traucējumiem un viņu ģimeņu dzīvi</w:t>
      </w:r>
    </w:p>
    <w:p w:rsidR="0002431B" w:rsidRPr="00AA6642" w:rsidRDefault="00D746C7" w:rsidP="00936B86">
      <w:pPr>
        <w:rPr>
          <w:lang w:val="lv-LV"/>
        </w:rPr>
      </w:pPr>
      <w:r w:rsidRPr="00AA6642">
        <w:rPr>
          <w:lang w:val="lv-LV"/>
        </w:rPr>
        <w:t xml:space="preserve">Vairāk informācijas pieejams </w:t>
      </w:r>
      <w:r w:rsidR="000672DA" w:rsidRPr="00AA6642">
        <w:rPr>
          <w:lang w:val="lv-LV"/>
        </w:rPr>
        <w:t xml:space="preserve"> </w:t>
      </w:r>
      <w:hyperlink r:id="rId9" w:history="1">
        <w:r w:rsidR="000672DA" w:rsidRPr="00AA6642">
          <w:rPr>
            <w:rStyle w:val="Hyperlink"/>
            <w:lang w:val="lv-LV"/>
          </w:rPr>
          <w:t xml:space="preserve">Inclusion Europe </w:t>
        </w:r>
        <w:r w:rsidRPr="00AA6642">
          <w:rPr>
            <w:rStyle w:val="Hyperlink"/>
            <w:lang w:val="lv-LV"/>
          </w:rPr>
          <w:t>mājas</w:t>
        </w:r>
      </w:hyperlink>
      <w:r w:rsidRPr="00AA6642">
        <w:rPr>
          <w:lang w:val="lv-LV"/>
        </w:rPr>
        <w:t xml:space="preserve"> lapā </w:t>
      </w:r>
      <w:hyperlink r:id="rId10" w:history="1">
        <w:r w:rsidRPr="00AA6642">
          <w:rPr>
            <w:rStyle w:val="Hyperlink"/>
            <w:lang w:val="lv-LV"/>
          </w:rPr>
          <w:t>www.incusion-europe.org</w:t>
        </w:r>
      </w:hyperlink>
      <w:r w:rsidRPr="00AA6642">
        <w:rPr>
          <w:lang w:val="lv-LV"/>
        </w:rPr>
        <w:t xml:space="preserve"> </w:t>
      </w:r>
      <w:r w:rsidR="000672DA" w:rsidRPr="00AA6642">
        <w:rPr>
          <w:lang w:val="lv-LV"/>
        </w:rPr>
        <w:t xml:space="preserve"> </w:t>
      </w:r>
    </w:p>
    <w:p w:rsidR="0002431B" w:rsidRPr="00AA6642" w:rsidRDefault="0002431B" w:rsidP="009437F1">
      <w:pPr>
        <w:spacing w:after="0"/>
        <w:rPr>
          <w:b/>
          <w:sz w:val="32"/>
          <w:u w:val="single"/>
          <w:lang w:val="lv-LV"/>
        </w:rPr>
      </w:pPr>
      <w:r w:rsidRPr="00AA6642">
        <w:rPr>
          <w:b/>
          <w:u w:val="single"/>
          <w:lang w:val="lv-LV"/>
        </w:rPr>
        <w:t>European Disability Forum</w:t>
      </w:r>
      <w:r w:rsidR="00D746C7" w:rsidRPr="00AA6642">
        <w:rPr>
          <w:b/>
          <w:u w:val="single"/>
          <w:lang w:val="lv-LV"/>
        </w:rPr>
        <w:t xml:space="preserve"> (EDF)</w:t>
      </w:r>
      <w:r w:rsidR="00AA6642" w:rsidRPr="00AA6642">
        <w:rPr>
          <w:b/>
          <w:u w:val="single"/>
          <w:lang w:val="lv-LV"/>
        </w:rPr>
        <w:t xml:space="preserve"> </w:t>
      </w:r>
      <w:r w:rsidR="00D746C7" w:rsidRPr="00AA6642">
        <w:rPr>
          <w:b/>
          <w:u w:val="single"/>
          <w:lang w:val="lv-LV"/>
        </w:rPr>
        <w:t>(Eiropas Invaliditātes forums)</w:t>
      </w:r>
    </w:p>
    <w:p w:rsidR="0002431B" w:rsidRPr="00AA6642" w:rsidRDefault="0002431B" w:rsidP="00936B86">
      <w:pPr>
        <w:rPr>
          <w:lang w:val="lv-LV"/>
        </w:rPr>
      </w:pPr>
      <w:r w:rsidRPr="00AA6642">
        <w:rPr>
          <w:lang w:val="lv-LV"/>
        </w:rPr>
        <w:t>EDF-</w:t>
      </w:r>
      <w:r w:rsidR="00D746C7" w:rsidRPr="00AA6642">
        <w:rPr>
          <w:lang w:val="lv-LV"/>
        </w:rPr>
        <w:t>pārstāv</w:t>
      </w:r>
      <w:r w:rsidRPr="00AA6642">
        <w:rPr>
          <w:lang w:val="lv-LV"/>
        </w:rPr>
        <w:t xml:space="preserve"> 37 </w:t>
      </w:r>
      <w:r w:rsidR="00D746C7" w:rsidRPr="00AA6642">
        <w:rPr>
          <w:lang w:val="lv-LV"/>
        </w:rPr>
        <w:t>miljonu cilvēku ar invaliditāti intereses</w:t>
      </w:r>
      <w:r w:rsidRPr="00AA6642">
        <w:rPr>
          <w:lang w:val="lv-LV"/>
        </w:rPr>
        <w:t xml:space="preserve"> </w:t>
      </w:r>
    </w:p>
    <w:p w:rsidR="00E711EC" w:rsidRPr="00AA6642" w:rsidRDefault="0002431B" w:rsidP="00E711EC">
      <w:pPr>
        <w:spacing w:after="0"/>
        <w:rPr>
          <w:lang w:val="lv-LV"/>
        </w:rPr>
      </w:pPr>
      <w:r w:rsidRPr="00AA6642">
        <w:rPr>
          <w:b/>
          <w:bCs/>
          <w:iCs/>
          <w:lang w:val="lv-LV"/>
        </w:rPr>
        <w:t>Mis</w:t>
      </w:r>
      <w:r w:rsidR="00D746C7" w:rsidRPr="00AA6642">
        <w:rPr>
          <w:b/>
          <w:bCs/>
          <w:iCs/>
          <w:lang w:val="lv-LV"/>
        </w:rPr>
        <w:t>ija</w:t>
      </w:r>
      <w:r w:rsidRPr="00AA6642">
        <w:rPr>
          <w:lang w:val="lv-LV"/>
        </w:rPr>
        <w:t>:</w:t>
      </w:r>
      <w:r w:rsidR="008D7A88" w:rsidRPr="00AA6642">
        <w:rPr>
          <w:lang w:val="lv-LV"/>
        </w:rPr>
        <w:t xml:space="preserve"> </w:t>
      </w:r>
    </w:p>
    <w:p w:rsidR="00D746C7" w:rsidRPr="00AA6642" w:rsidRDefault="00D746C7" w:rsidP="00936B86">
      <w:pPr>
        <w:rPr>
          <w:lang w:val="lv-LV"/>
        </w:rPr>
      </w:pPr>
      <w:r w:rsidRPr="00AA6642">
        <w:rPr>
          <w:lang w:val="lv-LV"/>
        </w:rPr>
        <w:t>Uzlabot personu ar invaliditāti cilvēktiesību īstenošanu un veicinātu vienlīdzīgas iespējas ES politikā saskaņā ar nediskriminācijas principu</w:t>
      </w:r>
    </w:p>
    <w:p w:rsidR="0002431B" w:rsidRPr="00AA6642" w:rsidRDefault="00D746C7" w:rsidP="00E711EC">
      <w:pPr>
        <w:spacing w:after="0"/>
        <w:rPr>
          <w:b/>
          <w:lang w:val="lv-LV"/>
        </w:rPr>
      </w:pPr>
      <w:r w:rsidRPr="00AA6642">
        <w:rPr>
          <w:b/>
          <w:lang w:val="lv-LV"/>
        </w:rPr>
        <w:t>Organizācijas struktūra</w:t>
      </w:r>
      <w:r w:rsidR="0002431B" w:rsidRPr="00AA6642">
        <w:rPr>
          <w:b/>
          <w:lang w:val="lv-LV"/>
        </w:rPr>
        <w:t>:</w:t>
      </w:r>
    </w:p>
    <w:p w:rsidR="0002431B" w:rsidRPr="00AA6642" w:rsidRDefault="0002431B" w:rsidP="00984EDB">
      <w:pPr>
        <w:pStyle w:val="ListParagraph"/>
        <w:numPr>
          <w:ilvl w:val="0"/>
          <w:numId w:val="29"/>
        </w:numPr>
        <w:rPr>
          <w:lang w:val="lv-LV"/>
        </w:rPr>
      </w:pPr>
      <w:r w:rsidRPr="00AA6642">
        <w:rPr>
          <w:lang w:val="lv-LV"/>
        </w:rPr>
        <w:t xml:space="preserve">68 </w:t>
      </w:r>
      <w:r w:rsidR="003F78C7" w:rsidRPr="00AA6642">
        <w:rPr>
          <w:lang w:val="lv-LV"/>
        </w:rPr>
        <w:t>organizācijas, kuras strādā Eiropas līmenī</w:t>
      </w:r>
    </w:p>
    <w:p w:rsidR="0002431B" w:rsidRPr="00AA6642" w:rsidRDefault="0002431B" w:rsidP="00984EDB">
      <w:pPr>
        <w:pStyle w:val="ListParagraph"/>
        <w:numPr>
          <w:ilvl w:val="0"/>
          <w:numId w:val="29"/>
        </w:numPr>
        <w:rPr>
          <w:lang w:val="lv-LV"/>
        </w:rPr>
      </w:pPr>
      <w:r w:rsidRPr="00AA6642">
        <w:rPr>
          <w:lang w:val="lv-LV"/>
        </w:rPr>
        <w:t xml:space="preserve">29 </w:t>
      </w:r>
      <w:r w:rsidR="003F78C7" w:rsidRPr="00AA6642">
        <w:rPr>
          <w:lang w:val="lv-LV"/>
        </w:rPr>
        <w:t xml:space="preserve">Nacionālās organizācijas, kuras pārstāv nacionālo invaliditātes kustību katrā Eiropas Ekonomikas zonā. </w:t>
      </w:r>
      <w:r w:rsidRPr="00AA6642">
        <w:rPr>
          <w:lang w:val="lv-LV"/>
        </w:rPr>
        <w:t xml:space="preserve">(EEA) </w:t>
      </w:r>
    </w:p>
    <w:p w:rsidR="0002431B" w:rsidRPr="00AA6642" w:rsidRDefault="003F78C7" w:rsidP="00E711EC">
      <w:pPr>
        <w:spacing w:after="0"/>
        <w:rPr>
          <w:b/>
          <w:lang w:val="lv-LV"/>
        </w:rPr>
      </w:pPr>
      <w:r w:rsidRPr="00AA6642">
        <w:rPr>
          <w:b/>
          <w:lang w:val="lv-LV"/>
        </w:rPr>
        <w:t>Galvenie mērķi</w:t>
      </w:r>
      <w:r w:rsidR="00E711EC" w:rsidRPr="00AA6642">
        <w:rPr>
          <w:b/>
          <w:lang w:val="lv-LV"/>
        </w:rPr>
        <w:t>:</w:t>
      </w:r>
    </w:p>
    <w:p w:rsidR="003F78C7" w:rsidRPr="00AA6642" w:rsidRDefault="003F78C7" w:rsidP="00984EDB">
      <w:pPr>
        <w:pStyle w:val="ListParagraph"/>
        <w:numPr>
          <w:ilvl w:val="0"/>
          <w:numId w:val="29"/>
        </w:numPr>
        <w:rPr>
          <w:lang w:val="lv-LV"/>
        </w:rPr>
      </w:pPr>
      <w:r w:rsidRPr="00AA6642">
        <w:rPr>
          <w:lang w:val="lv-LV"/>
        </w:rPr>
        <w:t>Veicināt personu ar invaliditāti cilvēktiesības un vienlīdzīgas iespējas</w:t>
      </w:r>
    </w:p>
    <w:p w:rsidR="003F78C7" w:rsidRPr="00AA6642" w:rsidRDefault="003F78C7" w:rsidP="00984EDB">
      <w:pPr>
        <w:pStyle w:val="ListParagraph"/>
        <w:numPr>
          <w:ilvl w:val="0"/>
          <w:numId w:val="29"/>
        </w:numPr>
        <w:rPr>
          <w:lang w:val="lv-LV"/>
        </w:rPr>
      </w:pPr>
      <w:r w:rsidRPr="00AA6642">
        <w:rPr>
          <w:lang w:val="lv-LV"/>
        </w:rPr>
        <w:t>Cīnīties pret diskrimināciju un sociālo atstumtību visās ES politikas jomās,  saskaņā ar vienlīdzības principu un invaliditātes sociālo modeli</w:t>
      </w:r>
    </w:p>
    <w:p w:rsidR="003F78C7" w:rsidRPr="00AA6642" w:rsidRDefault="003F78C7" w:rsidP="00984EDB">
      <w:pPr>
        <w:pStyle w:val="ListParagraph"/>
        <w:numPr>
          <w:ilvl w:val="0"/>
          <w:numId w:val="29"/>
        </w:numPr>
        <w:rPr>
          <w:lang w:val="lv-LV"/>
        </w:rPr>
      </w:pPr>
      <w:r w:rsidRPr="00AA6642">
        <w:rPr>
          <w:lang w:val="lv-LV"/>
        </w:rPr>
        <w:t>Palielināt 10% iedzīvotāju ar dažāda veida traucējumiem atpazīstamību</w:t>
      </w:r>
    </w:p>
    <w:p w:rsidR="003F78C7" w:rsidRPr="00AA6642" w:rsidRDefault="003F78C7" w:rsidP="00984EDB">
      <w:pPr>
        <w:pStyle w:val="ListParagraph"/>
        <w:numPr>
          <w:ilvl w:val="0"/>
          <w:numId w:val="29"/>
        </w:numPr>
        <w:rPr>
          <w:lang w:val="lv-LV"/>
        </w:rPr>
      </w:pPr>
      <w:r w:rsidRPr="00AA6642">
        <w:rPr>
          <w:lang w:val="lv-LV"/>
        </w:rPr>
        <w:t>Veicināt personu ar invaliditāti pārstāvības organizāciju  līdzdalību pilsoniskajā dialogā-visos līmeņos-it īpaši ar ES institūcijām un citām starptautiskām org.</w:t>
      </w:r>
    </w:p>
    <w:p w:rsidR="0002431B" w:rsidRPr="00AA6642" w:rsidRDefault="003F78C7" w:rsidP="00E711EC">
      <w:pPr>
        <w:spacing w:after="0"/>
        <w:rPr>
          <w:b/>
          <w:lang w:val="lv-LV"/>
        </w:rPr>
      </w:pPr>
      <w:r w:rsidRPr="00AA6642">
        <w:rPr>
          <w:b/>
          <w:lang w:val="lv-LV"/>
        </w:rPr>
        <w:t>Aktivitātes</w:t>
      </w:r>
      <w:r w:rsidR="00E711EC" w:rsidRPr="00AA6642">
        <w:rPr>
          <w:b/>
          <w:lang w:val="lv-LV"/>
        </w:rPr>
        <w:t>:</w:t>
      </w:r>
    </w:p>
    <w:p w:rsidR="003F78C7" w:rsidRPr="00AA6642" w:rsidRDefault="003F78C7" w:rsidP="00984EDB">
      <w:pPr>
        <w:pStyle w:val="ListParagraph"/>
        <w:numPr>
          <w:ilvl w:val="0"/>
          <w:numId w:val="29"/>
        </w:numPr>
        <w:rPr>
          <w:lang w:val="lv-LV"/>
        </w:rPr>
      </w:pPr>
      <w:r w:rsidRPr="00AA6642">
        <w:rPr>
          <w:lang w:val="lv-LV"/>
        </w:rPr>
        <w:t>EDF kampaņas politikas izmaiņu veicināšanai un būtiska loma informācijas apmaiņā ar Eiropas invaliditātes kustību.</w:t>
      </w:r>
    </w:p>
    <w:p w:rsidR="003F78C7" w:rsidRPr="00AA6642" w:rsidRDefault="003F78C7" w:rsidP="00984EDB">
      <w:pPr>
        <w:pStyle w:val="ListParagraph"/>
        <w:numPr>
          <w:ilvl w:val="0"/>
          <w:numId w:val="29"/>
        </w:numPr>
        <w:rPr>
          <w:lang w:val="lv-LV"/>
        </w:rPr>
      </w:pPr>
      <w:r w:rsidRPr="00AA6642">
        <w:rPr>
          <w:lang w:val="lv-LV"/>
        </w:rPr>
        <w:t>Nediskriminācijas tiesību aktu nostiprināšana, nodarbinātības un citos ES kompetencē esošos jautājumos – saskaņā ar līdztiesības principu: transporta, informācijas sabiedrības, sociālās aizsardzības jomās ...</w:t>
      </w:r>
    </w:p>
    <w:p w:rsidR="003F78C7" w:rsidRPr="00AA6642" w:rsidRDefault="003F78C7" w:rsidP="00984EDB">
      <w:pPr>
        <w:pStyle w:val="ListParagraph"/>
        <w:numPr>
          <w:ilvl w:val="0"/>
          <w:numId w:val="29"/>
        </w:numPr>
        <w:rPr>
          <w:lang w:val="lv-LV"/>
        </w:rPr>
      </w:pPr>
      <w:r w:rsidRPr="00AA6642">
        <w:rPr>
          <w:lang w:val="lv-LV"/>
        </w:rPr>
        <w:t>Vienlīdzīgas iespējas cilvēkiem ar invaliditāti nodarbinātībā un izglītībā ...</w:t>
      </w:r>
    </w:p>
    <w:p w:rsidR="0002431B" w:rsidRPr="00AA6642" w:rsidRDefault="003F78C7" w:rsidP="00936B86">
      <w:pPr>
        <w:rPr>
          <w:lang w:val="lv-LV"/>
        </w:rPr>
      </w:pPr>
      <w:r w:rsidRPr="00AA6642">
        <w:rPr>
          <w:lang w:val="lv-LV"/>
        </w:rPr>
        <w:t>Vairāk informācijas pieejams</w:t>
      </w:r>
      <w:r w:rsidR="000672DA" w:rsidRPr="00AA6642">
        <w:rPr>
          <w:lang w:val="lv-LV"/>
        </w:rPr>
        <w:t xml:space="preserve"> </w:t>
      </w:r>
      <w:hyperlink r:id="rId11" w:history="1">
        <w:r w:rsidR="000672DA" w:rsidRPr="00AA6642">
          <w:rPr>
            <w:rStyle w:val="Hyperlink"/>
            <w:lang w:val="lv-LV"/>
          </w:rPr>
          <w:t xml:space="preserve">EDF </w:t>
        </w:r>
        <w:r w:rsidRPr="00AA6642">
          <w:rPr>
            <w:rStyle w:val="Hyperlink"/>
            <w:lang w:val="lv-LV"/>
          </w:rPr>
          <w:t>mājas</w:t>
        </w:r>
      </w:hyperlink>
      <w:r w:rsidRPr="00AA6642">
        <w:rPr>
          <w:lang w:val="lv-LV"/>
        </w:rPr>
        <w:t xml:space="preserve"> lapā.</w:t>
      </w:r>
    </w:p>
    <w:p w:rsidR="0002431B" w:rsidRPr="00AA6642" w:rsidRDefault="0002431B" w:rsidP="009437F1">
      <w:pPr>
        <w:spacing w:after="0"/>
        <w:rPr>
          <w:b/>
          <w:u w:val="single"/>
          <w:lang w:val="lv-LV"/>
        </w:rPr>
      </w:pPr>
      <w:r w:rsidRPr="00AA6642">
        <w:rPr>
          <w:b/>
          <w:u w:val="single"/>
          <w:lang w:val="lv-LV"/>
        </w:rPr>
        <w:t>Mental Health Europe</w:t>
      </w:r>
      <w:r w:rsidR="003F78C7" w:rsidRPr="00AA6642">
        <w:rPr>
          <w:b/>
          <w:u w:val="single"/>
          <w:lang w:val="lv-LV"/>
        </w:rPr>
        <w:t xml:space="preserve"> </w:t>
      </w:r>
      <w:r w:rsidR="003F78C7" w:rsidRPr="00AA6642">
        <w:rPr>
          <w:lang w:val="lv-LV"/>
        </w:rPr>
        <w:t>(Garīgā veselība Eiropa)</w:t>
      </w:r>
    </w:p>
    <w:p w:rsidR="0002431B" w:rsidRPr="00AA6642" w:rsidRDefault="003F78C7" w:rsidP="00936B86">
      <w:pPr>
        <w:rPr>
          <w:lang w:val="lv-LV"/>
        </w:rPr>
      </w:pPr>
      <w:r w:rsidRPr="00AA6642">
        <w:rPr>
          <w:lang w:val="lv-LV"/>
        </w:rPr>
        <w:t>MHE</w:t>
      </w:r>
      <w:r w:rsidR="0002431B" w:rsidRPr="00AA6642">
        <w:rPr>
          <w:lang w:val="lv-LV"/>
        </w:rPr>
        <w:t xml:space="preserve">, </w:t>
      </w:r>
      <w:r w:rsidRPr="00AA6642">
        <w:rPr>
          <w:lang w:val="lv-LV"/>
        </w:rPr>
        <w:t xml:space="preserve">kā interešu aizstāvības un izglītojoša nevalstiska </w:t>
      </w:r>
      <w:r w:rsidR="00AA6642" w:rsidRPr="00AA6642">
        <w:rPr>
          <w:lang w:val="lv-LV"/>
        </w:rPr>
        <w:t>organizācija</w:t>
      </w:r>
      <w:r w:rsidR="0002431B" w:rsidRPr="00AA6642">
        <w:rPr>
          <w:lang w:val="lv-LV"/>
        </w:rPr>
        <w:t xml:space="preserve">, </w:t>
      </w:r>
      <w:r w:rsidRPr="00AA6642">
        <w:rPr>
          <w:lang w:val="lv-LV"/>
        </w:rPr>
        <w:t>veicina cilvēku garīgo veselību visos tās aspektos: sociālajā, izglītības, medicīnas un bioloģiskajā</w:t>
      </w:r>
    </w:p>
    <w:p w:rsidR="003330A3" w:rsidRPr="00AA6642" w:rsidRDefault="003330A3" w:rsidP="003330A3">
      <w:pPr>
        <w:spacing w:after="0"/>
        <w:rPr>
          <w:b/>
          <w:lang w:val="lv-LV"/>
        </w:rPr>
      </w:pPr>
      <w:r w:rsidRPr="00AA6642">
        <w:rPr>
          <w:b/>
          <w:lang w:val="lv-LV"/>
        </w:rPr>
        <w:t>Organizācijas struktūra:</w:t>
      </w:r>
    </w:p>
    <w:p w:rsidR="003330A3" w:rsidRPr="00AA6642" w:rsidRDefault="003330A3" w:rsidP="00936B86">
      <w:pPr>
        <w:rPr>
          <w:lang w:val="lv-LV"/>
        </w:rPr>
      </w:pPr>
      <w:r w:rsidRPr="00AA6642">
        <w:rPr>
          <w:lang w:val="lv-LV"/>
        </w:rPr>
        <w:lastRenderedPageBreak/>
        <w:t>Dalībnieki ir organizācijas un privātpersonas no visas Eiropas ar dažādām interesēm garīgajā veselībā, pieredzi, zināšanām un atbildību, kas veido vienlīdzīgu partnerību.</w:t>
      </w:r>
    </w:p>
    <w:p w:rsidR="003330A3" w:rsidRPr="00AA6642" w:rsidRDefault="003330A3" w:rsidP="003330A3">
      <w:pPr>
        <w:pStyle w:val="ListParagraph"/>
        <w:numPr>
          <w:ilvl w:val="0"/>
          <w:numId w:val="29"/>
        </w:numPr>
        <w:rPr>
          <w:lang w:val="lv-LV"/>
        </w:rPr>
      </w:pPr>
      <w:r w:rsidRPr="00AA6642">
        <w:rPr>
          <w:lang w:val="lv-LV"/>
        </w:rPr>
        <w:t>Biedri ir lietotāju organizācijas, brīvprātīgo un profesionālās organizācijas, kas strādā  reģionālā, valsts un Eiropas līmenī.</w:t>
      </w:r>
    </w:p>
    <w:p w:rsidR="003330A3" w:rsidRPr="00AA6642" w:rsidRDefault="003330A3" w:rsidP="003330A3">
      <w:pPr>
        <w:pStyle w:val="ListParagraph"/>
        <w:numPr>
          <w:ilvl w:val="0"/>
          <w:numId w:val="29"/>
        </w:numPr>
        <w:rPr>
          <w:lang w:val="lv-LV"/>
        </w:rPr>
      </w:pPr>
      <w:r w:rsidRPr="00AA6642">
        <w:rPr>
          <w:lang w:val="lv-LV"/>
        </w:rPr>
        <w:t>MHE šobrīd ir aptuveni 73 biedru organizācijas 30 Eiropas valstīs.</w:t>
      </w:r>
    </w:p>
    <w:p w:rsidR="0002431B" w:rsidRPr="00AA6642" w:rsidRDefault="003330A3" w:rsidP="00E711EC">
      <w:pPr>
        <w:spacing w:after="0"/>
        <w:rPr>
          <w:b/>
          <w:lang w:val="lv-LV"/>
        </w:rPr>
      </w:pPr>
      <w:r w:rsidRPr="00AA6642">
        <w:rPr>
          <w:b/>
          <w:lang w:val="lv-LV"/>
        </w:rPr>
        <w:t>Galveni mērķi</w:t>
      </w:r>
      <w:r w:rsidR="0002431B" w:rsidRPr="00AA6642">
        <w:rPr>
          <w:b/>
          <w:lang w:val="lv-LV"/>
        </w:rPr>
        <w:t>:</w:t>
      </w:r>
    </w:p>
    <w:p w:rsidR="0002431B" w:rsidRPr="00AA6642" w:rsidRDefault="003330A3" w:rsidP="00984EDB">
      <w:pPr>
        <w:pStyle w:val="ListParagraph"/>
        <w:numPr>
          <w:ilvl w:val="0"/>
          <w:numId w:val="29"/>
        </w:numPr>
        <w:rPr>
          <w:lang w:val="lv-LV"/>
        </w:rPr>
      </w:pPr>
      <w:r w:rsidRPr="00AA6642">
        <w:rPr>
          <w:lang w:val="lv-LV"/>
        </w:rPr>
        <w:t>Veicināt pozitīvu garīgo veselību</w:t>
      </w:r>
      <w:r w:rsidR="0002431B" w:rsidRPr="00AA6642">
        <w:rPr>
          <w:lang w:val="lv-LV"/>
        </w:rPr>
        <w:t>;</w:t>
      </w:r>
    </w:p>
    <w:p w:rsidR="0002431B" w:rsidRPr="00AA6642" w:rsidRDefault="003330A3" w:rsidP="00984EDB">
      <w:pPr>
        <w:pStyle w:val="ListParagraph"/>
        <w:numPr>
          <w:ilvl w:val="0"/>
          <w:numId w:val="29"/>
        </w:numPr>
        <w:rPr>
          <w:lang w:val="lv-LV"/>
        </w:rPr>
      </w:pPr>
      <w:r w:rsidRPr="00AA6642">
        <w:rPr>
          <w:lang w:val="lv-LV"/>
        </w:rPr>
        <w:t>Garīgā distresa novēršana</w:t>
      </w:r>
      <w:r w:rsidR="0002431B" w:rsidRPr="00AA6642">
        <w:rPr>
          <w:lang w:val="lv-LV"/>
        </w:rPr>
        <w:t xml:space="preserve">; </w:t>
      </w:r>
    </w:p>
    <w:p w:rsidR="003330A3" w:rsidRPr="00AA6642" w:rsidRDefault="003330A3" w:rsidP="00984EDB">
      <w:pPr>
        <w:pStyle w:val="ListParagraph"/>
        <w:numPr>
          <w:ilvl w:val="0"/>
          <w:numId w:val="29"/>
        </w:numPr>
        <w:rPr>
          <w:lang w:val="lv-LV"/>
        </w:rPr>
      </w:pPr>
      <w:r w:rsidRPr="00AA6642">
        <w:rPr>
          <w:lang w:val="lv-LV"/>
        </w:rPr>
        <w:t>Cilvēktiesību garīgās veselības aprūpes pakalpojumos,  psihiatrisko slimnīcu pacientiem, viņu ģimenēm un aprūpētājiem aizsardzība;</w:t>
      </w:r>
    </w:p>
    <w:p w:rsidR="003330A3" w:rsidRPr="00AA6642" w:rsidRDefault="003330A3" w:rsidP="00984EDB">
      <w:pPr>
        <w:pStyle w:val="ListParagraph"/>
        <w:numPr>
          <w:ilvl w:val="0"/>
          <w:numId w:val="29"/>
        </w:numPr>
        <w:rPr>
          <w:lang w:val="lv-LV"/>
        </w:rPr>
      </w:pPr>
      <w:r w:rsidRPr="00AA6642">
        <w:rPr>
          <w:lang w:val="lv-LV"/>
        </w:rPr>
        <w:t>Sadarbībā ar organizācijas biedriem izstrādāt politikas nostājas garīgās veselības jautājumos;</w:t>
      </w:r>
    </w:p>
    <w:p w:rsidR="003330A3" w:rsidRPr="00AA6642" w:rsidRDefault="003330A3" w:rsidP="00984EDB">
      <w:pPr>
        <w:pStyle w:val="ListParagraph"/>
        <w:numPr>
          <w:ilvl w:val="0"/>
          <w:numId w:val="29"/>
        </w:numPr>
        <w:rPr>
          <w:lang w:val="lv-LV"/>
        </w:rPr>
      </w:pPr>
      <w:r w:rsidRPr="00AA6642">
        <w:rPr>
          <w:lang w:val="lv-LV"/>
        </w:rPr>
        <w:t>Lobēt un ietekmēt svarīgāko lēmumu pieņemšanu par Eiropas garīgās veselības jautājumiem.</w:t>
      </w:r>
    </w:p>
    <w:p w:rsidR="0002431B" w:rsidRPr="00AA6642" w:rsidRDefault="0002431B" w:rsidP="00E711EC">
      <w:pPr>
        <w:spacing w:after="0"/>
        <w:rPr>
          <w:b/>
          <w:lang w:val="lv-LV"/>
        </w:rPr>
      </w:pPr>
      <w:r w:rsidRPr="00AA6642">
        <w:rPr>
          <w:b/>
          <w:lang w:val="lv-LV"/>
        </w:rPr>
        <w:t>A</w:t>
      </w:r>
      <w:r w:rsidR="003330A3" w:rsidRPr="00AA6642">
        <w:rPr>
          <w:b/>
          <w:lang w:val="lv-LV"/>
        </w:rPr>
        <w:t>ktivitātes</w:t>
      </w:r>
      <w:r w:rsidR="00E711EC" w:rsidRPr="00AA6642">
        <w:rPr>
          <w:b/>
          <w:lang w:val="lv-LV"/>
        </w:rPr>
        <w:t>:</w:t>
      </w:r>
    </w:p>
    <w:p w:rsidR="0002431B" w:rsidRPr="00AA6642" w:rsidRDefault="003330A3" w:rsidP="00984EDB">
      <w:pPr>
        <w:pStyle w:val="ListParagraph"/>
        <w:numPr>
          <w:ilvl w:val="0"/>
          <w:numId w:val="29"/>
        </w:numPr>
        <w:rPr>
          <w:lang w:val="lv-LV"/>
        </w:rPr>
      </w:pPr>
      <w:r w:rsidRPr="00AA6642">
        <w:rPr>
          <w:lang w:val="lv-LV"/>
        </w:rPr>
        <w:t>Veicina un atbalsta tās dalīborganizācijas, izmantojot informāciju un konsultācijas</w:t>
      </w:r>
    </w:p>
    <w:p w:rsidR="003330A3" w:rsidRPr="00AA6642" w:rsidRDefault="003330A3" w:rsidP="00984EDB">
      <w:pPr>
        <w:pStyle w:val="ListParagraph"/>
        <w:numPr>
          <w:ilvl w:val="0"/>
          <w:numId w:val="29"/>
        </w:numPr>
        <w:rPr>
          <w:lang w:val="lv-LV"/>
        </w:rPr>
      </w:pPr>
      <w:r w:rsidRPr="00AA6642">
        <w:rPr>
          <w:lang w:val="lv-LV"/>
        </w:rPr>
        <w:t>Izstrādā un formulē politiku un stratēģiju par garīgās veselības jautājumiem</w:t>
      </w:r>
    </w:p>
    <w:p w:rsidR="003330A3" w:rsidRPr="00AA6642" w:rsidRDefault="003330A3" w:rsidP="00984EDB">
      <w:pPr>
        <w:pStyle w:val="ListParagraph"/>
        <w:numPr>
          <w:ilvl w:val="0"/>
          <w:numId w:val="29"/>
        </w:numPr>
        <w:rPr>
          <w:lang w:val="lv-LV"/>
        </w:rPr>
      </w:pPr>
      <w:r w:rsidRPr="00AA6642">
        <w:rPr>
          <w:lang w:val="lv-LV"/>
        </w:rPr>
        <w:t>Iniciē sadarbību un komunikāciju starp ieinteresētām pusēm garīgās veselības jautājumos</w:t>
      </w:r>
    </w:p>
    <w:p w:rsidR="00190E2E" w:rsidRPr="00AA6642" w:rsidRDefault="003330A3" w:rsidP="00984EDB">
      <w:pPr>
        <w:pStyle w:val="ListParagraph"/>
        <w:numPr>
          <w:ilvl w:val="0"/>
          <w:numId w:val="29"/>
        </w:numPr>
        <w:rPr>
          <w:bCs/>
          <w:iCs/>
          <w:lang w:val="lv-LV"/>
        </w:rPr>
      </w:pPr>
      <w:r w:rsidRPr="00AA6642">
        <w:rPr>
          <w:lang w:val="lv-LV"/>
        </w:rPr>
        <w:t xml:space="preserve">Identificē un izplata labas prakses </w:t>
      </w:r>
      <w:r w:rsidR="00190E2E" w:rsidRPr="00AA6642">
        <w:rPr>
          <w:lang w:val="lv-LV"/>
        </w:rPr>
        <w:t>piemērus par garīgo veselību</w:t>
      </w:r>
    </w:p>
    <w:p w:rsidR="00190E2E" w:rsidRPr="00AA6642" w:rsidRDefault="003330A3" w:rsidP="00984EDB">
      <w:pPr>
        <w:pStyle w:val="ListParagraph"/>
        <w:numPr>
          <w:ilvl w:val="0"/>
          <w:numId w:val="29"/>
        </w:numPr>
        <w:rPr>
          <w:bCs/>
          <w:iCs/>
          <w:lang w:val="lv-LV"/>
        </w:rPr>
      </w:pPr>
      <w:r w:rsidRPr="00AA6642">
        <w:rPr>
          <w:lang w:val="lv-LV"/>
        </w:rPr>
        <w:t>Sniedz informāciju par ES jautājumiem garīgās veselības</w:t>
      </w:r>
      <w:r w:rsidR="00190E2E" w:rsidRPr="00AA6642">
        <w:rPr>
          <w:lang w:val="lv-LV"/>
        </w:rPr>
        <w:t xml:space="preserve"> jomā</w:t>
      </w:r>
    </w:p>
    <w:p w:rsidR="00190E2E" w:rsidRPr="00AA6642" w:rsidRDefault="003330A3" w:rsidP="00984EDB">
      <w:pPr>
        <w:pStyle w:val="ListParagraph"/>
        <w:numPr>
          <w:ilvl w:val="0"/>
          <w:numId w:val="29"/>
        </w:numPr>
        <w:rPr>
          <w:bCs/>
          <w:iCs/>
          <w:lang w:val="lv-LV"/>
        </w:rPr>
      </w:pPr>
      <w:r w:rsidRPr="00AA6642">
        <w:rPr>
          <w:lang w:val="lv-LV"/>
        </w:rPr>
        <w:t>Palielina izpratni par garīgo veselību un</w:t>
      </w:r>
      <w:r w:rsidR="00190E2E" w:rsidRPr="00AA6642">
        <w:rPr>
          <w:lang w:val="lv-LV"/>
        </w:rPr>
        <w:t xml:space="preserve"> organizē</w:t>
      </w:r>
      <w:r w:rsidRPr="00AA6642">
        <w:rPr>
          <w:lang w:val="lv-LV"/>
        </w:rPr>
        <w:t xml:space="preserve"> kampa</w:t>
      </w:r>
      <w:r w:rsidR="00190E2E" w:rsidRPr="00AA6642">
        <w:rPr>
          <w:lang w:val="lv-LV"/>
        </w:rPr>
        <w:t>ņas par svarīgiem jautājumiem</w:t>
      </w:r>
    </w:p>
    <w:p w:rsidR="00190E2E" w:rsidRPr="00AA6642" w:rsidRDefault="003330A3" w:rsidP="00984EDB">
      <w:pPr>
        <w:pStyle w:val="ListParagraph"/>
        <w:numPr>
          <w:ilvl w:val="0"/>
          <w:numId w:val="29"/>
        </w:numPr>
        <w:rPr>
          <w:bCs/>
          <w:iCs/>
          <w:lang w:val="lv-LV"/>
        </w:rPr>
      </w:pPr>
      <w:r w:rsidRPr="00AA6642">
        <w:rPr>
          <w:lang w:val="lv-LV"/>
        </w:rPr>
        <w:t xml:space="preserve">Organizē sanāksmes, seminārus, konferences un </w:t>
      </w:r>
      <w:r w:rsidR="00190E2E" w:rsidRPr="00AA6642">
        <w:rPr>
          <w:lang w:val="lv-LV"/>
        </w:rPr>
        <w:t>darba grupas</w:t>
      </w:r>
    </w:p>
    <w:p w:rsidR="003330A3" w:rsidRPr="00AA6642" w:rsidRDefault="00190E2E" w:rsidP="00984EDB">
      <w:pPr>
        <w:pStyle w:val="ListParagraph"/>
        <w:numPr>
          <w:ilvl w:val="0"/>
          <w:numId w:val="29"/>
        </w:numPr>
        <w:rPr>
          <w:bCs/>
          <w:iCs/>
          <w:lang w:val="lv-LV"/>
        </w:rPr>
      </w:pPr>
      <w:r w:rsidRPr="00AA6642">
        <w:rPr>
          <w:lang w:val="lv-LV"/>
        </w:rPr>
        <w:t>Iesaistās sarunu procesā</w:t>
      </w:r>
      <w:r w:rsidR="003330A3" w:rsidRPr="00AA6642">
        <w:rPr>
          <w:lang w:val="lv-LV"/>
        </w:rPr>
        <w:t xml:space="preserve"> par garīgo veselību ar visām attiecīgajām Eiropas iestādēm</w:t>
      </w:r>
    </w:p>
    <w:p w:rsidR="0002431B" w:rsidRPr="00AA6642" w:rsidRDefault="00190E2E" w:rsidP="00936B86">
      <w:pPr>
        <w:rPr>
          <w:lang w:val="lv-LV"/>
        </w:rPr>
      </w:pPr>
      <w:r w:rsidRPr="00AA6642">
        <w:rPr>
          <w:lang w:val="lv-LV"/>
        </w:rPr>
        <w:t xml:space="preserve">Vairāk informācijas pieejams </w:t>
      </w:r>
      <w:hyperlink r:id="rId12" w:history="1">
        <w:r w:rsidR="000672DA" w:rsidRPr="00AA6642">
          <w:rPr>
            <w:rStyle w:val="Hyperlink"/>
            <w:lang w:val="lv-LV"/>
          </w:rPr>
          <w:t xml:space="preserve">Mental Health </w:t>
        </w:r>
        <w:r w:rsidRPr="00AA6642">
          <w:rPr>
            <w:rStyle w:val="Hyperlink"/>
            <w:lang w:val="lv-LV"/>
          </w:rPr>
          <w:t>mājas</w:t>
        </w:r>
      </w:hyperlink>
      <w:r w:rsidRPr="00AA6642">
        <w:rPr>
          <w:lang w:val="lv-LV"/>
        </w:rPr>
        <w:t xml:space="preserve"> lapā </w:t>
      </w:r>
      <w:hyperlink r:id="rId13" w:history="1">
        <w:r w:rsidRPr="00AA6642">
          <w:rPr>
            <w:rStyle w:val="Hyperlink"/>
            <w:lang w:val="lv-LV"/>
          </w:rPr>
          <w:t>www.mhe-sme.org</w:t>
        </w:r>
      </w:hyperlink>
      <w:r w:rsidRPr="00AA6642">
        <w:rPr>
          <w:lang w:val="lv-LV"/>
        </w:rPr>
        <w:t xml:space="preserve"> </w:t>
      </w:r>
      <w:r w:rsidR="00B7386E" w:rsidRPr="00AA6642">
        <w:rPr>
          <w:lang w:val="lv-LV"/>
        </w:rPr>
        <w:t xml:space="preserve"> </w:t>
      </w:r>
    </w:p>
    <w:p w:rsidR="0002431B" w:rsidRPr="00AA6642" w:rsidRDefault="00443049" w:rsidP="00936B86">
      <w:pPr>
        <w:pStyle w:val="Heading1"/>
        <w:rPr>
          <w:i/>
          <w:lang w:val="lv-LV"/>
        </w:rPr>
      </w:pPr>
      <w:bookmarkStart w:id="45" w:name="_Toc443312620"/>
      <w:bookmarkStart w:id="46" w:name="_Toc444090591"/>
      <w:r w:rsidRPr="00AA6642">
        <w:rPr>
          <w:lang w:val="lv-LV"/>
        </w:rPr>
        <w:t>I</w:t>
      </w:r>
      <w:r w:rsidR="00B7386E" w:rsidRPr="00AA6642">
        <w:rPr>
          <w:lang w:val="lv-LV"/>
        </w:rPr>
        <w:t>V</w:t>
      </w:r>
      <w:r w:rsidR="0002431B" w:rsidRPr="00AA6642">
        <w:rPr>
          <w:lang w:val="lv-LV"/>
        </w:rPr>
        <w:t>.</w:t>
      </w:r>
      <w:r w:rsidR="00B7386E" w:rsidRPr="00AA6642">
        <w:rPr>
          <w:lang w:val="lv-LV"/>
        </w:rPr>
        <w:t>3</w:t>
      </w:r>
      <w:r w:rsidR="0002431B" w:rsidRPr="00AA6642">
        <w:rPr>
          <w:lang w:val="lv-LV"/>
        </w:rPr>
        <w:t xml:space="preserve"> </w:t>
      </w:r>
      <w:r w:rsidR="00190E2E" w:rsidRPr="00AA6642">
        <w:rPr>
          <w:lang w:val="lv-LV"/>
        </w:rPr>
        <w:t xml:space="preserve">Informācijas sistēma sociālo pakalpojumu cilvēkiem ar invaliditāti jomā </w:t>
      </w:r>
      <w:bookmarkEnd w:id="45"/>
      <w:bookmarkEnd w:id="46"/>
    </w:p>
    <w:p w:rsidR="00BF5083" w:rsidRPr="00AA6642" w:rsidRDefault="00BF5083" w:rsidP="00936B86">
      <w:pPr>
        <w:rPr>
          <w:lang w:val="lv-LV"/>
        </w:rPr>
      </w:pPr>
      <w:r w:rsidRPr="00AA6642">
        <w:rPr>
          <w:lang w:val="lv-LV"/>
        </w:rPr>
        <w:t>Informācijas sistēma attiecas uz metožu un mehānismu kopumu, lai uzraudzītu, apkopotu, izveidotu, saglabātu, apstrādātu, un izplatītu informāciju. Šis process tiek izmantots, lai kontrolētu vispārējo tiesisko regulējumu, kas ietekmē lēmumu pieņemšanu un sistēmu pielāgošanās spēju mainīgajām dalībnieku vajadzībām procesā.</w:t>
      </w:r>
    </w:p>
    <w:p w:rsidR="00BF5083" w:rsidRPr="00AA6642" w:rsidRDefault="00BF5083" w:rsidP="00936B86">
      <w:pPr>
        <w:rPr>
          <w:lang w:val="lv-LV"/>
        </w:rPr>
      </w:pPr>
      <w:r w:rsidRPr="00AA6642">
        <w:rPr>
          <w:lang w:val="lv-LV"/>
        </w:rPr>
        <w:lastRenderedPageBreak/>
        <w:t>Visām sociālo pakalpojumu sniegšanā iesaistītām ieinteresētajām pusēm (pakalpojumu sniedzējiem, lietotājiem, iestādēm un „vārtu sargātājiem” uc) būtu jāveicina pareiza informācijas sistēmas uzturēšana. Lielākais izaicinājums sistēmas izveidošanai ir informācijas tehnoloģiju pieņemšana un izmantošana sociālajā sektorā.</w:t>
      </w:r>
    </w:p>
    <w:p w:rsidR="0002431B" w:rsidRPr="00AA6642" w:rsidRDefault="00443049" w:rsidP="009437F1">
      <w:pPr>
        <w:pStyle w:val="Heading2"/>
        <w:rPr>
          <w:lang w:val="lv-LV"/>
        </w:rPr>
      </w:pPr>
      <w:bookmarkStart w:id="47" w:name="_Toc443312621"/>
      <w:bookmarkStart w:id="48" w:name="_Toc444090592"/>
      <w:r w:rsidRPr="00AA6642">
        <w:rPr>
          <w:lang w:val="lv-LV"/>
        </w:rPr>
        <w:t>I</w:t>
      </w:r>
      <w:r w:rsidR="00B7386E" w:rsidRPr="00AA6642">
        <w:rPr>
          <w:lang w:val="lv-LV"/>
        </w:rPr>
        <w:t>V.3</w:t>
      </w:r>
      <w:r w:rsidR="0002431B" w:rsidRPr="00AA6642">
        <w:rPr>
          <w:lang w:val="lv-LV"/>
        </w:rPr>
        <w:t>.</w:t>
      </w:r>
      <w:r w:rsidR="00B7386E" w:rsidRPr="00AA6642">
        <w:rPr>
          <w:lang w:val="lv-LV"/>
        </w:rPr>
        <w:t>1 I</w:t>
      </w:r>
      <w:r w:rsidR="0002431B" w:rsidRPr="00AA6642">
        <w:rPr>
          <w:lang w:val="lv-LV"/>
        </w:rPr>
        <w:t>nform</w:t>
      </w:r>
      <w:r w:rsidR="00BF5083" w:rsidRPr="00AA6642">
        <w:rPr>
          <w:lang w:val="lv-LV"/>
        </w:rPr>
        <w:t xml:space="preserve">ācija, kura ir nepieciešama personām ar invaliditāti </w:t>
      </w:r>
      <w:bookmarkEnd w:id="47"/>
      <w:bookmarkEnd w:id="48"/>
    </w:p>
    <w:p w:rsidR="0002431B" w:rsidRPr="00AA6642" w:rsidRDefault="001A6938" w:rsidP="00984EDB">
      <w:pPr>
        <w:pStyle w:val="ListParagraph"/>
        <w:numPr>
          <w:ilvl w:val="0"/>
          <w:numId w:val="16"/>
        </w:numPr>
        <w:rPr>
          <w:lang w:val="lv-LV"/>
        </w:rPr>
      </w:pPr>
      <w:r w:rsidRPr="00AA6642">
        <w:rPr>
          <w:b/>
          <w:lang w:val="lv-LV"/>
        </w:rPr>
        <w:t>Informācija par politiku un tiesisko regulējumu</w:t>
      </w:r>
      <w:r w:rsidR="00BF5083" w:rsidRPr="00AA6642">
        <w:rPr>
          <w:lang w:val="lv-LV"/>
        </w:rPr>
        <w:t>, saistībā ar pakalpojumu</w:t>
      </w:r>
      <w:r w:rsidR="00C117DA" w:rsidRPr="00AA6642">
        <w:rPr>
          <w:lang w:val="lv-LV"/>
        </w:rPr>
        <w:t xml:space="preserve"> sniegšanu, tiesībā</w:t>
      </w:r>
      <w:r w:rsidRPr="00AA6642">
        <w:rPr>
          <w:lang w:val="lv-LV"/>
        </w:rPr>
        <w:t>m, akreditētiem</w:t>
      </w:r>
      <w:r w:rsidR="00BF5083" w:rsidRPr="00AA6642">
        <w:rPr>
          <w:lang w:val="lv-LV"/>
        </w:rPr>
        <w:t xml:space="preserve"> </w:t>
      </w:r>
      <w:r w:rsidRPr="00AA6642">
        <w:rPr>
          <w:lang w:val="lv-LV"/>
        </w:rPr>
        <w:t xml:space="preserve">pakalpojumu </w:t>
      </w:r>
      <w:r w:rsidR="00BF5083" w:rsidRPr="00AA6642">
        <w:rPr>
          <w:lang w:val="lv-LV"/>
        </w:rPr>
        <w:t>sniedzējiem, invaliditātes klasifikācij</w:t>
      </w:r>
      <w:r w:rsidRPr="00AA6642">
        <w:rPr>
          <w:lang w:val="lv-LV"/>
        </w:rPr>
        <w:t>u</w:t>
      </w:r>
      <w:r w:rsidR="00BF5083" w:rsidRPr="00AA6642">
        <w:rPr>
          <w:lang w:val="lv-LV"/>
        </w:rPr>
        <w:t xml:space="preserve"> utt .;</w:t>
      </w:r>
    </w:p>
    <w:p w:rsidR="0002431B" w:rsidRPr="00AA6642" w:rsidRDefault="001A6938" w:rsidP="00984EDB">
      <w:pPr>
        <w:pStyle w:val="ListParagraph"/>
        <w:numPr>
          <w:ilvl w:val="0"/>
          <w:numId w:val="16"/>
        </w:numPr>
        <w:rPr>
          <w:lang w:val="lv-LV"/>
        </w:rPr>
      </w:pPr>
      <w:r w:rsidRPr="00AA6642">
        <w:rPr>
          <w:b/>
          <w:lang w:val="lv-LV"/>
        </w:rPr>
        <w:t>Informācija par pakalpojumu lietotājiem</w:t>
      </w:r>
      <w:r w:rsidRPr="00AA6642">
        <w:rPr>
          <w:lang w:val="lv-LV"/>
        </w:rPr>
        <w:t>: koordinātes, sociāli ekonomiskie dati, kas atspoguļo vajadzības pēc pakalpojumiem un ar funkcionālo stāvokli saistītu atbalstu utt .;</w:t>
      </w:r>
    </w:p>
    <w:p w:rsidR="001A6938" w:rsidRPr="00AA6642" w:rsidRDefault="001A6938" w:rsidP="00984EDB">
      <w:pPr>
        <w:pStyle w:val="ListParagraph"/>
        <w:numPr>
          <w:ilvl w:val="0"/>
          <w:numId w:val="16"/>
        </w:numPr>
        <w:rPr>
          <w:lang w:val="lv-LV"/>
        </w:rPr>
      </w:pPr>
      <w:r w:rsidRPr="00AA6642">
        <w:rPr>
          <w:b/>
          <w:lang w:val="lv-LV"/>
        </w:rPr>
        <w:t>Informācija par pakalpojumu sniedzējiem:</w:t>
      </w:r>
      <w:r w:rsidRPr="00AA6642">
        <w:rPr>
          <w:lang w:val="lv-LV"/>
        </w:rPr>
        <w:t xml:space="preserve"> lokalizācija, piedāvājums, kvalitātes kontrole, darbinieku struktūra, iekšējā statistika (vienības izmaksas, klientu skaits, izmērāmie rezultāti u.c.);</w:t>
      </w:r>
    </w:p>
    <w:p w:rsidR="001A6938" w:rsidRPr="00AA6642" w:rsidRDefault="001A6938" w:rsidP="00984EDB">
      <w:pPr>
        <w:pStyle w:val="ListParagraph"/>
        <w:numPr>
          <w:ilvl w:val="0"/>
          <w:numId w:val="16"/>
        </w:numPr>
        <w:rPr>
          <w:lang w:val="lv-LV"/>
        </w:rPr>
      </w:pPr>
      <w:r w:rsidRPr="00AA6642">
        <w:rPr>
          <w:lang w:val="lv-LV"/>
        </w:rPr>
        <w:t>Informācija par vārtu sargātājiem un / vai vietējo "kontaktpunktu" pakalpojumu sniegšanas jomā;</w:t>
      </w:r>
    </w:p>
    <w:p w:rsidR="001A6938" w:rsidRPr="00AA6642" w:rsidRDefault="001A6938" w:rsidP="00984EDB">
      <w:pPr>
        <w:pStyle w:val="ListParagraph"/>
        <w:numPr>
          <w:ilvl w:val="0"/>
          <w:numId w:val="16"/>
        </w:numPr>
        <w:rPr>
          <w:lang w:val="lv-LV"/>
        </w:rPr>
      </w:pPr>
      <w:r w:rsidRPr="00AA6642">
        <w:rPr>
          <w:lang w:val="lv-LV"/>
        </w:rPr>
        <w:t>Informācija par tiesībām un pieejamajiem atbalsta pakalpojumiem vietējā un nacionālā līmenī;</w:t>
      </w:r>
    </w:p>
    <w:p w:rsidR="001A6938" w:rsidRPr="00AA6642" w:rsidRDefault="001A6938" w:rsidP="00984EDB">
      <w:pPr>
        <w:pStyle w:val="ListParagraph"/>
        <w:numPr>
          <w:ilvl w:val="0"/>
          <w:numId w:val="16"/>
        </w:numPr>
        <w:rPr>
          <w:lang w:val="lv-LV"/>
        </w:rPr>
      </w:pPr>
      <w:r w:rsidRPr="00AA6642">
        <w:rPr>
          <w:b/>
          <w:lang w:val="lv-LV"/>
        </w:rPr>
        <w:t>Gaidītāju saraksti atbilstoši pakalpojumu kategorijām</w:t>
      </w:r>
      <w:r w:rsidRPr="00AA6642">
        <w:rPr>
          <w:lang w:val="lv-LV"/>
        </w:rPr>
        <w:t xml:space="preserve"> un situācija ar pieejamo vietu skaitu sistēmā;</w:t>
      </w:r>
    </w:p>
    <w:p w:rsidR="001A6938" w:rsidRPr="00AA6642" w:rsidRDefault="001A6938" w:rsidP="00984EDB">
      <w:pPr>
        <w:pStyle w:val="ListParagraph"/>
        <w:numPr>
          <w:ilvl w:val="0"/>
          <w:numId w:val="16"/>
        </w:numPr>
        <w:rPr>
          <w:lang w:val="lv-LV"/>
        </w:rPr>
      </w:pPr>
      <w:r w:rsidRPr="00AA6642">
        <w:rPr>
          <w:b/>
          <w:lang w:val="lv-LV"/>
        </w:rPr>
        <w:t xml:space="preserve">Cita būtiska </w:t>
      </w:r>
      <w:r w:rsidR="00A722F6" w:rsidRPr="00AA6642">
        <w:rPr>
          <w:b/>
          <w:lang w:val="lv-LV"/>
        </w:rPr>
        <w:t>informācija</w:t>
      </w:r>
      <w:r w:rsidR="00A722F6" w:rsidRPr="00AA6642">
        <w:rPr>
          <w:lang w:val="lv-LV"/>
        </w:rPr>
        <w:t>, kas palīdz vietējām un valsts iestādēm</w:t>
      </w:r>
      <w:r w:rsidRPr="00AA6642">
        <w:rPr>
          <w:lang w:val="lv-LV"/>
        </w:rPr>
        <w:t xml:space="preserve"> uzlabot </w:t>
      </w:r>
      <w:r w:rsidR="00A722F6" w:rsidRPr="00AA6642">
        <w:rPr>
          <w:lang w:val="lv-LV"/>
        </w:rPr>
        <w:t xml:space="preserve">pakalpojumu personām ar invaliditāti </w:t>
      </w:r>
      <w:r w:rsidRPr="00AA6642">
        <w:rPr>
          <w:lang w:val="lv-LV"/>
        </w:rPr>
        <w:t>nodrošināšanu un koordināciju.</w:t>
      </w:r>
    </w:p>
    <w:p w:rsidR="00A722F6" w:rsidRPr="00AA6642" w:rsidRDefault="00A722F6" w:rsidP="00936B86">
      <w:pPr>
        <w:rPr>
          <w:lang w:val="lv-LV"/>
        </w:rPr>
      </w:pPr>
      <w:r w:rsidRPr="00AA6642">
        <w:rPr>
          <w:lang w:val="lv-LV"/>
        </w:rPr>
        <w:t>Veids, kādā informācijas sistēmas ir pieejamas un strukturēts var veicināt uzlabotu lēmumu pieņemšanu, kontroli un labākas kvalitātes pakalpojumus personām ar invaliditāti. Visaptverošas un integrētas sistēmas ietver visu būtisko iepriekš uzskaitīto informāciju.</w:t>
      </w:r>
    </w:p>
    <w:p w:rsidR="0002431B" w:rsidRPr="00AA6642" w:rsidRDefault="00443049" w:rsidP="009437F1">
      <w:pPr>
        <w:pStyle w:val="Heading2"/>
        <w:rPr>
          <w:lang w:val="lv-LV"/>
        </w:rPr>
      </w:pPr>
      <w:bookmarkStart w:id="49" w:name="_Toc443312622"/>
      <w:bookmarkStart w:id="50" w:name="_Toc444090593"/>
      <w:r w:rsidRPr="00AA6642">
        <w:rPr>
          <w:lang w:val="lv-LV"/>
        </w:rPr>
        <w:t>IV</w:t>
      </w:r>
      <w:r w:rsidR="00936B86" w:rsidRPr="00AA6642">
        <w:rPr>
          <w:lang w:val="lv-LV"/>
        </w:rPr>
        <w:t>.3.</w:t>
      </w:r>
      <w:r w:rsidR="0002431B" w:rsidRPr="00AA6642">
        <w:rPr>
          <w:lang w:val="lv-LV"/>
        </w:rPr>
        <w:t xml:space="preserve">2 </w:t>
      </w:r>
      <w:bookmarkEnd w:id="49"/>
      <w:bookmarkEnd w:id="50"/>
      <w:r w:rsidR="00A722F6" w:rsidRPr="00AA6642">
        <w:rPr>
          <w:lang w:val="lv-LV"/>
        </w:rPr>
        <w:t>Integrētas informācijas sistēmas veiksmes faktori</w:t>
      </w:r>
    </w:p>
    <w:p w:rsidR="0002431B" w:rsidRPr="00AA6642" w:rsidRDefault="00A722F6" w:rsidP="00936B86">
      <w:pPr>
        <w:rPr>
          <w:lang w:val="lv-LV"/>
        </w:rPr>
      </w:pPr>
      <w:r w:rsidRPr="00AA6642">
        <w:rPr>
          <w:b/>
          <w:bCs/>
          <w:iCs/>
          <w:lang w:val="lv-LV"/>
        </w:rPr>
        <w:t>Politiskais līmenis</w:t>
      </w:r>
      <w:r w:rsidR="00936B86" w:rsidRPr="00AA6642">
        <w:rPr>
          <w:b/>
          <w:bCs/>
          <w:iCs/>
          <w:lang w:val="lv-LV"/>
        </w:rPr>
        <w:t>:</w:t>
      </w:r>
      <w:r w:rsidR="00936B86" w:rsidRPr="00AA6642">
        <w:rPr>
          <w:rFonts w:ascii="Calibri" w:eastAsia="Times New Roman" w:hAnsi="Calibri" w:cs="Times New Roman"/>
          <w:color w:val="000000"/>
          <w:kern w:val="24"/>
          <w:lang w:val="lv-LV" w:eastAsia="de-AT"/>
        </w:rPr>
        <w:t xml:space="preserve"> </w:t>
      </w:r>
      <w:r w:rsidRPr="00AA6642">
        <w:rPr>
          <w:lang w:val="lv-LV"/>
        </w:rPr>
        <w:t>Dalīšanās ar kopīgu redzējumu par savstarpējo izmantojamību, uzskatot to par virzītājspēku izaugsmei, attīstībai un inovācijai;</w:t>
      </w:r>
    </w:p>
    <w:p w:rsidR="0002431B" w:rsidRPr="00AA6642" w:rsidRDefault="00A722F6" w:rsidP="00E711EC">
      <w:pPr>
        <w:spacing w:after="0"/>
        <w:rPr>
          <w:b/>
          <w:lang w:val="lv-LV"/>
        </w:rPr>
      </w:pPr>
      <w:r w:rsidRPr="00AA6642">
        <w:rPr>
          <w:b/>
          <w:lang w:val="lv-LV"/>
        </w:rPr>
        <w:t>Informācijas sistēmas konkrēta dizaina līmenis</w:t>
      </w:r>
      <w:r w:rsidR="0002431B" w:rsidRPr="00AA6642">
        <w:rPr>
          <w:b/>
          <w:lang w:val="lv-LV"/>
        </w:rPr>
        <w:t xml:space="preserve">: </w:t>
      </w:r>
    </w:p>
    <w:p w:rsidR="00A722F6" w:rsidRPr="00AA6642" w:rsidRDefault="00A722F6" w:rsidP="00984EDB">
      <w:pPr>
        <w:pStyle w:val="ListParagraph"/>
        <w:numPr>
          <w:ilvl w:val="0"/>
          <w:numId w:val="14"/>
        </w:numPr>
        <w:rPr>
          <w:lang w:val="lv-LV"/>
        </w:rPr>
      </w:pPr>
      <w:r w:rsidRPr="00AA6642">
        <w:rPr>
          <w:lang w:val="lv-LV"/>
        </w:rPr>
        <w:t>Jēdzienu un semantisko bloku izvēle, kas nodrošinās savietojamību starp dažādiem dalībniekiem, piemēram, pakalpojumu sniedzējiem, vārtu sargātājiem, regulējošām institūcijām, pakalpojumu lietotājiem;</w:t>
      </w:r>
    </w:p>
    <w:p w:rsidR="0002431B" w:rsidRPr="00AA6642" w:rsidRDefault="00A722F6" w:rsidP="00984EDB">
      <w:pPr>
        <w:pStyle w:val="ListParagraph"/>
        <w:numPr>
          <w:ilvl w:val="0"/>
          <w:numId w:val="14"/>
        </w:numPr>
        <w:rPr>
          <w:lang w:val="lv-LV"/>
        </w:rPr>
      </w:pPr>
      <w:r w:rsidRPr="00AA6642">
        <w:rPr>
          <w:rStyle w:val="shorttext"/>
          <w:lang w:val="lv-LV"/>
        </w:rPr>
        <w:t>Informācijas</w:t>
      </w:r>
      <w:r w:rsidRPr="00AA6642">
        <w:rPr>
          <w:lang w:val="lv-LV"/>
        </w:rPr>
        <w:t xml:space="preserve"> </w:t>
      </w:r>
      <w:r w:rsidRPr="00AA6642">
        <w:rPr>
          <w:rStyle w:val="shorttext"/>
          <w:lang w:val="lv-LV"/>
        </w:rPr>
        <w:t>atklātība un izsekojamība;</w:t>
      </w:r>
    </w:p>
    <w:p w:rsidR="00A722F6" w:rsidRPr="00AA6642" w:rsidRDefault="00A722F6" w:rsidP="00984EDB">
      <w:pPr>
        <w:pStyle w:val="ListParagraph"/>
        <w:numPr>
          <w:ilvl w:val="0"/>
          <w:numId w:val="14"/>
        </w:numPr>
        <w:rPr>
          <w:lang w:val="lv-LV"/>
        </w:rPr>
      </w:pPr>
      <w:r w:rsidRPr="00AA6642">
        <w:rPr>
          <w:lang w:val="lv-LV"/>
        </w:rPr>
        <w:t>Skaidras vadlīnijas visiem dalībniekiem, kas ir atbildīgi par sistēmu nodrošinājumu ar informāciju;</w:t>
      </w:r>
    </w:p>
    <w:p w:rsidR="0002431B" w:rsidRPr="00AA6642" w:rsidRDefault="00A722F6" w:rsidP="00984EDB">
      <w:pPr>
        <w:pStyle w:val="ListParagraph"/>
        <w:numPr>
          <w:ilvl w:val="0"/>
          <w:numId w:val="14"/>
        </w:numPr>
        <w:rPr>
          <w:lang w:val="lv-LV"/>
        </w:rPr>
      </w:pPr>
      <w:r w:rsidRPr="00AA6642">
        <w:rPr>
          <w:lang w:val="lv-LV"/>
        </w:rPr>
        <w:lastRenderedPageBreak/>
        <w:t>Privātuma noteikumi</w:t>
      </w:r>
      <w:r w:rsidR="00936B86" w:rsidRPr="00AA6642">
        <w:rPr>
          <w:lang w:val="lv-LV"/>
        </w:rPr>
        <w:t>;</w:t>
      </w:r>
    </w:p>
    <w:p w:rsidR="00A722F6" w:rsidRPr="00AA6642" w:rsidRDefault="001B013A" w:rsidP="00984EDB">
      <w:pPr>
        <w:pStyle w:val="ListParagraph"/>
        <w:numPr>
          <w:ilvl w:val="0"/>
          <w:numId w:val="14"/>
        </w:numPr>
        <w:rPr>
          <w:lang w:val="lv-LV"/>
        </w:rPr>
      </w:pPr>
      <w:r w:rsidRPr="00AA6642">
        <w:rPr>
          <w:lang w:val="lv-LV"/>
        </w:rPr>
        <w:t>Lietotājiem draudzīga</w:t>
      </w:r>
      <w:r w:rsidR="00A722F6" w:rsidRPr="00AA6642">
        <w:rPr>
          <w:lang w:val="lv-LV"/>
        </w:rPr>
        <w:t xml:space="preserve"> sa</w:t>
      </w:r>
      <w:r w:rsidRPr="00AA6642">
        <w:rPr>
          <w:lang w:val="lv-LV"/>
        </w:rPr>
        <w:t>darbe</w:t>
      </w:r>
      <w:r w:rsidR="00A722F6" w:rsidRPr="00AA6642">
        <w:rPr>
          <w:lang w:val="lv-LV"/>
        </w:rPr>
        <w:t xml:space="preserve"> un programmas, kas </w:t>
      </w:r>
      <w:r w:rsidRPr="00AA6642">
        <w:rPr>
          <w:lang w:val="lv-LV"/>
        </w:rPr>
        <w:t>nodrošina viegli lietojamas</w:t>
      </w:r>
      <w:r w:rsidR="00A722F6" w:rsidRPr="00AA6642">
        <w:rPr>
          <w:lang w:val="lv-LV"/>
        </w:rPr>
        <w:t xml:space="preserve"> procedūras visām iesaistītajām </w:t>
      </w:r>
      <w:r w:rsidRPr="00AA6642">
        <w:rPr>
          <w:lang w:val="lv-LV"/>
        </w:rPr>
        <w:t>pusēm, kuras papildina</w:t>
      </w:r>
      <w:r w:rsidR="00A722F6" w:rsidRPr="00AA6642">
        <w:rPr>
          <w:lang w:val="lv-LV"/>
        </w:rPr>
        <w:t xml:space="preserve"> </w:t>
      </w:r>
      <w:r w:rsidRPr="00AA6642">
        <w:rPr>
          <w:lang w:val="lv-LV"/>
        </w:rPr>
        <w:t>sistēmu ar datiem, un izmanto šo informāciju</w:t>
      </w:r>
      <w:r w:rsidR="00A722F6" w:rsidRPr="00AA6642">
        <w:rPr>
          <w:lang w:val="lv-LV"/>
        </w:rPr>
        <w:t>.</w:t>
      </w:r>
    </w:p>
    <w:p w:rsidR="001B013A" w:rsidRPr="00AA6642" w:rsidRDefault="001B013A" w:rsidP="00984EDB">
      <w:pPr>
        <w:pStyle w:val="ListParagraph"/>
        <w:numPr>
          <w:ilvl w:val="0"/>
          <w:numId w:val="14"/>
        </w:numPr>
        <w:rPr>
          <w:lang w:val="lv-LV"/>
        </w:rPr>
      </w:pPr>
      <w:r w:rsidRPr="00AA6642">
        <w:rPr>
          <w:lang w:val="lv-LV"/>
        </w:rPr>
        <w:t xml:space="preserve">Izmantojiet pieejamus formātus, piemēram, vieglā valodā sagatavotus tekstus un zīmju valodas tulkus personām ar īpašām komunikācijas vajadzībām </w:t>
      </w:r>
    </w:p>
    <w:p w:rsidR="0002431B" w:rsidRPr="00AA6642" w:rsidRDefault="001B013A" w:rsidP="00936B86">
      <w:pPr>
        <w:spacing w:after="0"/>
        <w:rPr>
          <w:b/>
          <w:lang w:val="lv-LV"/>
        </w:rPr>
      </w:pPr>
      <w:r w:rsidRPr="00AA6642">
        <w:rPr>
          <w:b/>
          <w:lang w:val="lv-LV"/>
        </w:rPr>
        <w:t>Informācijas sistēmas vadības līmenī</w:t>
      </w:r>
      <w:r w:rsidR="0002431B" w:rsidRPr="00AA6642">
        <w:rPr>
          <w:b/>
          <w:lang w:val="lv-LV"/>
        </w:rPr>
        <w:t>:</w:t>
      </w:r>
    </w:p>
    <w:p w:rsidR="001B013A" w:rsidRPr="00AA6642" w:rsidRDefault="001B013A" w:rsidP="00984EDB">
      <w:pPr>
        <w:pStyle w:val="ListParagraph"/>
        <w:numPr>
          <w:ilvl w:val="0"/>
          <w:numId w:val="30"/>
        </w:numPr>
        <w:rPr>
          <w:lang w:val="lv-LV"/>
        </w:rPr>
      </w:pPr>
      <w:r w:rsidRPr="00AA6642">
        <w:rPr>
          <w:lang w:val="lv-LV"/>
        </w:rPr>
        <w:t>Institūcijas, kas atbild par informācijas sistēma, konkrēts dizains;</w:t>
      </w:r>
    </w:p>
    <w:p w:rsidR="001B013A" w:rsidRPr="00AA6642" w:rsidRDefault="001B013A" w:rsidP="00984EDB">
      <w:pPr>
        <w:pStyle w:val="ListParagraph"/>
        <w:numPr>
          <w:ilvl w:val="0"/>
          <w:numId w:val="30"/>
        </w:numPr>
        <w:rPr>
          <w:lang w:val="lv-LV"/>
        </w:rPr>
      </w:pPr>
      <w:r w:rsidRPr="00AA6642">
        <w:rPr>
          <w:lang w:val="lv-LV"/>
        </w:rPr>
        <w:t>Minētās institūcijas stratēģija, ar koordinējošo lomu (kopējiem mērķiem visiem tīkla dalībniekiem, instrumenti informācijas apmaiņai, sistēmas uzraudzība un pilnveidošana, atbildība uc);</w:t>
      </w:r>
    </w:p>
    <w:p w:rsidR="0002431B" w:rsidRPr="00AA6642" w:rsidRDefault="001B013A" w:rsidP="00984EDB">
      <w:pPr>
        <w:pStyle w:val="ListParagraph"/>
        <w:numPr>
          <w:ilvl w:val="0"/>
          <w:numId w:val="30"/>
        </w:numPr>
        <w:rPr>
          <w:lang w:val="lv-LV"/>
        </w:rPr>
      </w:pPr>
      <w:r w:rsidRPr="00AA6642">
        <w:rPr>
          <w:lang w:val="lv-LV"/>
        </w:rPr>
        <w:t>Sabiedrības informēšanas portāla konkrēts dizains;</w:t>
      </w:r>
    </w:p>
    <w:p w:rsidR="0002431B" w:rsidRPr="00AA6642" w:rsidRDefault="001B013A" w:rsidP="00984EDB">
      <w:pPr>
        <w:pStyle w:val="ListParagraph"/>
        <w:numPr>
          <w:ilvl w:val="0"/>
          <w:numId w:val="30"/>
        </w:numPr>
        <w:rPr>
          <w:lang w:val="lv-LV"/>
        </w:rPr>
      </w:pPr>
      <w:r w:rsidRPr="00AA6642">
        <w:rPr>
          <w:lang w:val="lv-LV"/>
        </w:rPr>
        <w:t>Konkrēta kārtība un atbildība par informācijas sistēmas uzturēšan</w:t>
      </w:r>
      <w:r w:rsidR="00DE4E43" w:rsidRPr="00AA6642">
        <w:rPr>
          <w:lang w:val="lv-LV"/>
        </w:rPr>
        <w:t>u</w:t>
      </w:r>
      <w:r w:rsidRPr="00AA6642">
        <w:rPr>
          <w:lang w:val="lv-LV"/>
        </w:rPr>
        <w:t>.</w:t>
      </w:r>
    </w:p>
    <w:p w:rsidR="0002431B" w:rsidRPr="00AA6642" w:rsidRDefault="00443049" w:rsidP="009437F1">
      <w:pPr>
        <w:pStyle w:val="Heading2"/>
        <w:rPr>
          <w:lang w:val="lv-LV"/>
        </w:rPr>
      </w:pPr>
      <w:bookmarkStart w:id="51" w:name="_Toc443312623"/>
      <w:bookmarkStart w:id="52" w:name="_Toc444090594"/>
      <w:r w:rsidRPr="00AA6642">
        <w:rPr>
          <w:lang w:val="lv-LV"/>
        </w:rPr>
        <w:t>I</w:t>
      </w:r>
      <w:r w:rsidR="00936B86" w:rsidRPr="00AA6642">
        <w:rPr>
          <w:lang w:val="lv-LV"/>
        </w:rPr>
        <w:t>V.3.3</w:t>
      </w:r>
      <w:r w:rsidR="0002431B" w:rsidRPr="00AA6642">
        <w:rPr>
          <w:lang w:val="lv-LV"/>
        </w:rPr>
        <w:t xml:space="preserve"> </w:t>
      </w:r>
      <w:bookmarkEnd w:id="51"/>
      <w:bookmarkEnd w:id="52"/>
      <w:r w:rsidR="00DE4E43" w:rsidRPr="00AA6642">
        <w:rPr>
          <w:lang w:val="lv-LV"/>
        </w:rPr>
        <w:t>Pieejami formāti</w:t>
      </w:r>
      <w:r w:rsidR="0002431B" w:rsidRPr="00AA6642">
        <w:rPr>
          <w:lang w:val="lv-LV"/>
        </w:rPr>
        <w:t xml:space="preserve"> </w:t>
      </w:r>
    </w:p>
    <w:p w:rsidR="0002431B" w:rsidRPr="00AA6642" w:rsidRDefault="00DE4E43" w:rsidP="00936B86">
      <w:pPr>
        <w:spacing w:after="0"/>
        <w:rPr>
          <w:b/>
          <w:lang w:val="lv-LV"/>
        </w:rPr>
      </w:pPr>
      <w:r w:rsidRPr="00AA6642">
        <w:rPr>
          <w:b/>
          <w:lang w:val="lv-LV"/>
        </w:rPr>
        <w:t>Vieglā valoda</w:t>
      </w:r>
    </w:p>
    <w:p w:rsidR="00DE4E43" w:rsidRPr="00AA6642" w:rsidRDefault="00DE4E43" w:rsidP="00984EDB">
      <w:pPr>
        <w:pStyle w:val="ListParagraph"/>
        <w:numPr>
          <w:ilvl w:val="0"/>
          <w:numId w:val="32"/>
        </w:numPr>
        <w:rPr>
          <w:lang w:val="lv-LV"/>
        </w:rPr>
      </w:pPr>
      <w:r w:rsidRPr="00AA6642">
        <w:rPr>
          <w:lang w:val="lv-LV"/>
        </w:rPr>
        <w:t>Lai varētu izmantot pieejamo informāciju, tā ir jāsagatavo visiem lietotājiem, tostarp cilvēkiem ar intelektuālās attīstības traucējumiem, saprotamā veidā. Gatavojot informāciju vieglā valodā, vispirms ir jāatbild uz dažiem jautājumiem, piemēram, kas ir auditorija, kuru vēlaties sasniegt.</w:t>
      </w:r>
    </w:p>
    <w:p w:rsidR="0002431B" w:rsidRPr="00AA6642" w:rsidRDefault="00DE4E43" w:rsidP="00984EDB">
      <w:pPr>
        <w:pStyle w:val="ListParagraph"/>
        <w:numPr>
          <w:ilvl w:val="0"/>
          <w:numId w:val="32"/>
        </w:numPr>
        <w:rPr>
          <w:lang w:val="lv-LV"/>
        </w:rPr>
      </w:pPr>
      <w:r w:rsidRPr="00AA6642">
        <w:rPr>
          <w:lang w:val="lv-LV"/>
        </w:rPr>
        <w:t>Teksti ir kombinēti ar simboliem un attēliem.</w:t>
      </w:r>
    </w:p>
    <w:p w:rsidR="00DE4E43" w:rsidRPr="00AA6642" w:rsidRDefault="00DE4E43" w:rsidP="00E711EC">
      <w:pPr>
        <w:pStyle w:val="ListParagraph"/>
        <w:numPr>
          <w:ilvl w:val="0"/>
          <w:numId w:val="32"/>
        </w:numPr>
        <w:rPr>
          <w:rFonts w:eastAsia="Times New Roman"/>
          <w:lang w:val="lv-LV" w:eastAsia="de-AT"/>
        </w:rPr>
      </w:pPr>
      <w:r w:rsidRPr="00AA6642">
        <w:rPr>
          <w:lang w:val="lv-LV"/>
        </w:rPr>
        <w:t xml:space="preserve">Elektroniskā formāta, drukātā teksta un vides pieejamība </w:t>
      </w:r>
    </w:p>
    <w:p w:rsidR="00DE4E43" w:rsidRPr="00AA6642" w:rsidRDefault="00DE4E43" w:rsidP="00DE4E43">
      <w:pPr>
        <w:rPr>
          <w:rFonts w:eastAsia="Times New Roman"/>
          <w:lang w:val="lv-LV" w:eastAsia="de-AT"/>
        </w:rPr>
      </w:pPr>
      <w:r w:rsidRPr="00AA6642">
        <w:rPr>
          <w:lang w:val="lv-LV"/>
        </w:rPr>
        <w:t>Ir pieejamas daudz noderīgas rokasgrāmatas. Jūs atradīsiet saiti uz vairākām rokasgrāmatām izdales materiāliem beigās, literatūras sarakstā.</w:t>
      </w:r>
    </w:p>
    <w:p w:rsidR="0002431B" w:rsidRPr="00AA6642" w:rsidRDefault="0002431B" w:rsidP="00936B86">
      <w:pPr>
        <w:pStyle w:val="Heading1"/>
        <w:rPr>
          <w:lang w:val="lv-LV"/>
        </w:rPr>
      </w:pPr>
      <w:bookmarkStart w:id="53" w:name="_Toc443312624"/>
      <w:bookmarkStart w:id="54" w:name="_Toc444090595"/>
      <w:r w:rsidRPr="00AA6642">
        <w:rPr>
          <w:lang w:val="lv-LV"/>
        </w:rPr>
        <w:t>IV.</w:t>
      </w:r>
      <w:r w:rsidR="00936B86" w:rsidRPr="00AA6642">
        <w:rPr>
          <w:lang w:val="lv-LV"/>
        </w:rPr>
        <w:t>4</w:t>
      </w:r>
      <w:r w:rsidRPr="00AA6642">
        <w:rPr>
          <w:lang w:val="lv-LV"/>
        </w:rPr>
        <w:t xml:space="preserve"> </w:t>
      </w:r>
      <w:r w:rsidR="00DE4E43" w:rsidRPr="00AA6642">
        <w:rPr>
          <w:lang w:val="lv-LV"/>
        </w:rPr>
        <w:t>Datu apkopošana, informācijas plūsma un atgriezeniskās saites mehānismi</w:t>
      </w:r>
      <w:bookmarkEnd w:id="53"/>
      <w:bookmarkEnd w:id="54"/>
    </w:p>
    <w:p w:rsidR="0002431B" w:rsidRPr="00AA6642" w:rsidRDefault="00DE4E43" w:rsidP="00984EDB">
      <w:pPr>
        <w:pStyle w:val="ListParagraph"/>
        <w:numPr>
          <w:ilvl w:val="0"/>
          <w:numId w:val="19"/>
        </w:numPr>
        <w:rPr>
          <w:rFonts w:eastAsia="Times New Roman"/>
          <w:lang w:val="lv-LV" w:eastAsia="de-AT"/>
        </w:rPr>
      </w:pPr>
      <w:r w:rsidRPr="00AA6642">
        <w:rPr>
          <w:rStyle w:val="shorttext"/>
          <w:lang w:val="lv-LV"/>
        </w:rPr>
        <w:t>Kāpēc apkopot datus par invaliditāti</w:t>
      </w:r>
      <w:r w:rsidR="0002431B" w:rsidRPr="00AA6642">
        <w:rPr>
          <w:rFonts w:eastAsia="Times New Roman"/>
          <w:lang w:val="lv-LV" w:eastAsia="de-AT"/>
        </w:rPr>
        <w:t>?</w:t>
      </w:r>
    </w:p>
    <w:p w:rsidR="0002431B" w:rsidRPr="00AA6642" w:rsidRDefault="00DE4E43" w:rsidP="00984EDB">
      <w:pPr>
        <w:pStyle w:val="ListParagraph"/>
        <w:numPr>
          <w:ilvl w:val="0"/>
          <w:numId w:val="19"/>
        </w:numPr>
        <w:rPr>
          <w:rFonts w:ascii="Times New Roman" w:eastAsia="Times New Roman" w:hAnsi="Times New Roman"/>
          <w:lang w:val="lv-LV" w:eastAsia="de-AT"/>
        </w:rPr>
      </w:pPr>
      <w:r w:rsidRPr="00AA6642">
        <w:rPr>
          <w:rStyle w:val="shorttext"/>
          <w:lang w:val="lv-LV"/>
        </w:rPr>
        <w:t>Invaliditātes mērīšana</w:t>
      </w:r>
    </w:p>
    <w:p w:rsidR="0002431B" w:rsidRPr="00AA6642" w:rsidRDefault="00DE4E43" w:rsidP="00984EDB">
      <w:pPr>
        <w:pStyle w:val="ListParagraph"/>
        <w:numPr>
          <w:ilvl w:val="0"/>
          <w:numId w:val="19"/>
        </w:numPr>
        <w:rPr>
          <w:rFonts w:ascii="Times New Roman" w:eastAsia="Times New Roman" w:hAnsi="Times New Roman"/>
          <w:lang w:val="lv-LV" w:eastAsia="de-AT"/>
        </w:rPr>
      </w:pPr>
      <w:r w:rsidRPr="00AA6642">
        <w:rPr>
          <w:rFonts w:eastAsia="Times New Roman"/>
          <w:lang w:val="lv-LV" w:eastAsia="de-AT"/>
        </w:rPr>
        <w:t>ANO Konvencijas monitorings un ieviešana</w:t>
      </w:r>
    </w:p>
    <w:p w:rsidR="00DE4E43" w:rsidRPr="00AA6642" w:rsidRDefault="00DE4E43" w:rsidP="00984EDB">
      <w:pPr>
        <w:pStyle w:val="ListParagraph"/>
        <w:numPr>
          <w:ilvl w:val="0"/>
          <w:numId w:val="19"/>
        </w:numPr>
        <w:rPr>
          <w:rStyle w:val="shorttext"/>
          <w:rFonts w:ascii="Times New Roman" w:eastAsia="Times New Roman" w:hAnsi="Times New Roman"/>
          <w:lang w:val="lv-LV" w:eastAsia="de-AT"/>
        </w:rPr>
      </w:pPr>
      <w:r w:rsidRPr="00AA6642">
        <w:rPr>
          <w:rStyle w:val="shorttext"/>
          <w:lang w:val="lv-LV"/>
        </w:rPr>
        <w:t>Standarta uzraudzības shēma</w:t>
      </w:r>
    </w:p>
    <w:p w:rsidR="0002431B" w:rsidRPr="00AA6642" w:rsidRDefault="00DE4E43" w:rsidP="00984EDB">
      <w:pPr>
        <w:pStyle w:val="ListParagraph"/>
        <w:numPr>
          <w:ilvl w:val="0"/>
          <w:numId w:val="19"/>
        </w:numPr>
        <w:rPr>
          <w:rFonts w:ascii="Times New Roman" w:eastAsia="Times New Roman" w:hAnsi="Times New Roman"/>
          <w:lang w:val="lv-LV" w:eastAsia="de-AT"/>
        </w:rPr>
      </w:pPr>
      <w:r w:rsidRPr="00AA6642">
        <w:rPr>
          <w:rFonts w:eastAsia="Times New Roman"/>
          <w:lang w:val="lv-LV" w:eastAsia="de-AT"/>
        </w:rPr>
        <w:t>Cilvēktiesību indikatori</w:t>
      </w:r>
    </w:p>
    <w:p w:rsidR="0002431B" w:rsidRPr="00AA6642" w:rsidRDefault="0002431B" w:rsidP="00984EDB">
      <w:pPr>
        <w:pStyle w:val="ListParagraph"/>
        <w:numPr>
          <w:ilvl w:val="0"/>
          <w:numId w:val="19"/>
        </w:numPr>
        <w:rPr>
          <w:rFonts w:ascii="Times New Roman" w:eastAsia="Times New Roman" w:hAnsi="Times New Roman"/>
          <w:lang w:val="lv-LV" w:eastAsia="de-AT"/>
        </w:rPr>
      </w:pPr>
      <w:r w:rsidRPr="00AA6642">
        <w:rPr>
          <w:rFonts w:eastAsia="Times New Roman"/>
          <w:lang w:val="lv-LV" w:eastAsia="de-AT"/>
        </w:rPr>
        <w:t>I</w:t>
      </w:r>
      <w:r w:rsidR="00DE4E43" w:rsidRPr="00AA6642">
        <w:rPr>
          <w:rStyle w:val="shorttext"/>
          <w:lang w:val="lv-LV"/>
        </w:rPr>
        <w:t>nvaliditātes datu vai statistikas uzlabojumi</w:t>
      </w:r>
    </w:p>
    <w:p w:rsidR="0002431B" w:rsidRPr="00AA6642" w:rsidRDefault="0002431B" w:rsidP="009437F1">
      <w:pPr>
        <w:pStyle w:val="Heading2"/>
        <w:rPr>
          <w:lang w:val="lv-LV"/>
        </w:rPr>
      </w:pPr>
      <w:bookmarkStart w:id="55" w:name="_Toc443312625"/>
      <w:bookmarkStart w:id="56" w:name="_Toc444090596"/>
      <w:r w:rsidRPr="00AA6642">
        <w:rPr>
          <w:lang w:val="lv-LV"/>
        </w:rPr>
        <w:t>IV.</w:t>
      </w:r>
      <w:r w:rsidR="00DE0267" w:rsidRPr="00AA6642">
        <w:rPr>
          <w:lang w:val="lv-LV"/>
        </w:rPr>
        <w:t>4.1</w:t>
      </w:r>
      <w:r w:rsidRPr="00AA6642">
        <w:rPr>
          <w:lang w:val="lv-LV"/>
        </w:rPr>
        <w:t xml:space="preserve"> </w:t>
      </w:r>
      <w:bookmarkEnd w:id="55"/>
      <w:bookmarkEnd w:id="56"/>
      <w:r w:rsidR="00DE4E43" w:rsidRPr="00AA6642">
        <w:rPr>
          <w:lang w:val="lv-LV"/>
        </w:rPr>
        <w:t>Kāpēc apkopot datus par invaliditāti</w:t>
      </w:r>
    </w:p>
    <w:p w:rsidR="00FC7265" w:rsidRPr="00AA6642" w:rsidRDefault="00CB28F9" w:rsidP="00FC7265">
      <w:pPr>
        <w:pStyle w:val="ListParagraph"/>
        <w:numPr>
          <w:ilvl w:val="0"/>
          <w:numId w:val="20"/>
        </w:numPr>
        <w:rPr>
          <w:rFonts w:ascii="Times New Roman" w:eastAsia="Times New Roman" w:hAnsi="Times New Roman"/>
          <w:lang w:val="lv-LV" w:eastAsia="de-AT"/>
        </w:rPr>
      </w:pPr>
      <w:r w:rsidRPr="00AA6642">
        <w:rPr>
          <w:rFonts w:eastAsia="Times New Roman"/>
          <w:b/>
          <w:lang w:val="lv-LV" w:eastAsia="de-AT"/>
        </w:rPr>
        <w:t>Liels skaits</w:t>
      </w:r>
      <w:r w:rsidR="0002431B" w:rsidRPr="00AA6642">
        <w:rPr>
          <w:rFonts w:eastAsia="Times New Roman"/>
          <w:lang w:val="lv-LV" w:eastAsia="de-AT"/>
        </w:rPr>
        <w:t xml:space="preserve">: </w:t>
      </w:r>
      <w:r w:rsidR="00FC7265" w:rsidRPr="00AA6642">
        <w:rPr>
          <w:rFonts w:eastAsia="Times New Roman"/>
          <w:lang w:val="lv-LV" w:eastAsia="de-AT"/>
        </w:rPr>
        <w:t>Līdz</w:t>
      </w:r>
      <w:r w:rsidR="0002431B" w:rsidRPr="00AA6642">
        <w:rPr>
          <w:rFonts w:eastAsia="Times New Roman"/>
          <w:lang w:val="lv-LV" w:eastAsia="de-AT"/>
        </w:rPr>
        <w:t xml:space="preserve"> 15% </w:t>
      </w:r>
      <w:r w:rsidR="00FC7265" w:rsidRPr="00AA6642">
        <w:rPr>
          <w:rFonts w:eastAsia="Times New Roman"/>
          <w:lang w:val="lv-LV" w:eastAsia="de-AT"/>
        </w:rPr>
        <w:t>no Eiropas populācijas ir cilvēki ar invaliditāti</w:t>
      </w:r>
    </w:p>
    <w:p w:rsidR="00FC7265" w:rsidRPr="00AA6642" w:rsidRDefault="00FC7265" w:rsidP="00FC7265">
      <w:pPr>
        <w:pStyle w:val="ListParagraph"/>
        <w:numPr>
          <w:ilvl w:val="0"/>
          <w:numId w:val="20"/>
        </w:numPr>
        <w:rPr>
          <w:rFonts w:ascii="Times New Roman" w:eastAsia="Times New Roman" w:hAnsi="Times New Roman"/>
          <w:lang w:val="lv-LV" w:eastAsia="de-AT"/>
        </w:rPr>
      </w:pPr>
      <w:r w:rsidRPr="00AA6642">
        <w:rPr>
          <w:b/>
          <w:lang w:val="lv-LV"/>
        </w:rPr>
        <w:lastRenderedPageBreak/>
        <w:t>Epidemioloģiskam un demogrāfiskam pielietojumam</w:t>
      </w:r>
      <w:r w:rsidRPr="00AA6642">
        <w:rPr>
          <w:lang w:val="lv-LV"/>
        </w:rPr>
        <w:t>, piemēram, iedzīvotāju  skaitīšanai un iedzīvotāju aptaujām</w:t>
      </w:r>
    </w:p>
    <w:p w:rsidR="0002431B" w:rsidRPr="00AA6642" w:rsidRDefault="00FC7265" w:rsidP="00984EDB">
      <w:pPr>
        <w:pStyle w:val="ListParagraph"/>
        <w:numPr>
          <w:ilvl w:val="0"/>
          <w:numId w:val="20"/>
        </w:numPr>
        <w:rPr>
          <w:rFonts w:ascii="Times New Roman" w:eastAsia="Times New Roman" w:hAnsi="Times New Roman"/>
          <w:lang w:val="lv-LV" w:eastAsia="de-AT"/>
        </w:rPr>
      </w:pPr>
      <w:r w:rsidRPr="00AA6642">
        <w:rPr>
          <w:lang w:val="lv-LV"/>
        </w:rPr>
        <w:t xml:space="preserve">Lai izmantotu </w:t>
      </w:r>
      <w:r w:rsidRPr="00AA6642">
        <w:rPr>
          <w:b/>
          <w:lang w:val="lv-LV"/>
        </w:rPr>
        <w:t>veselības aprūpes un sabiedrības veselības sistēmās</w:t>
      </w:r>
      <w:r w:rsidRPr="00AA6642">
        <w:rPr>
          <w:lang w:val="lv-LV"/>
        </w:rPr>
        <w:t>, piemēram, iedzīvotāju veselības apsekojumiem, administratīvi datiem, invaliditātes aptaujām, pētījumiem</w:t>
      </w:r>
    </w:p>
    <w:p w:rsidR="0002431B" w:rsidRPr="00AA6642" w:rsidRDefault="00FC7265" w:rsidP="00984EDB">
      <w:pPr>
        <w:pStyle w:val="ListParagraph"/>
        <w:numPr>
          <w:ilvl w:val="0"/>
          <w:numId w:val="20"/>
        </w:numPr>
        <w:rPr>
          <w:rFonts w:ascii="Times New Roman" w:eastAsia="Times New Roman" w:hAnsi="Times New Roman"/>
          <w:lang w:val="lv-LV" w:eastAsia="de-AT"/>
        </w:rPr>
      </w:pPr>
      <w:r w:rsidRPr="00AA6642">
        <w:rPr>
          <w:lang w:val="lv-LV"/>
        </w:rPr>
        <w:t xml:space="preserve">Lai </w:t>
      </w:r>
      <w:r w:rsidRPr="00AA6642">
        <w:rPr>
          <w:b/>
          <w:lang w:val="lv-LV"/>
        </w:rPr>
        <w:t>izmantotu sociālās sistēmās</w:t>
      </w:r>
      <w:r w:rsidRPr="00AA6642">
        <w:rPr>
          <w:lang w:val="lv-LV"/>
        </w:rPr>
        <w:t>: sociālā aizsardzībā, izglītībā, nodarbinātībā, transporta jomā, mājokļa jomā, komunikācijā, un tā tālāk ... piemēram, sociālās un sociālekonomiskās aptaujās, pētniecībā</w:t>
      </w:r>
    </w:p>
    <w:p w:rsidR="0002431B" w:rsidRPr="00AA6642" w:rsidRDefault="00FC7265" w:rsidP="00984EDB">
      <w:pPr>
        <w:pStyle w:val="ListParagraph"/>
        <w:numPr>
          <w:ilvl w:val="0"/>
          <w:numId w:val="20"/>
        </w:numPr>
        <w:rPr>
          <w:rFonts w:ascii="Times New Roman" w:eastAsia="Times New Roman" w:hAnsi="Times New Roman"/>
          <w:lang w:val="lv-LV" w:eastAsia="de-AT"/>
        </w:rPr>
      </w:pPr>
      <w:r w:rsidRPr="00AA6642">
        <w:rPr>
          <w:lang w:val="lv-LV"/>
        </w:rPr>
        <w:t xml:space="preserve">Lai uzraudzītu </w:t>
      </w:r>
      <w:r w:rsidRPr="00AA6642">
        <w:rPr>
          <w:b/>
          <w:lang w:val="lv-LV"/>
        </w:rPr>
        <w:t>cilvēktiesību ievērošanu</w:t>
      </w:r>
      <w:r w:rsidRPr="00AA6642">
        <w:rPr>
          <w:lang w:val="lv-LV"/>
        </w:rPr>
        <w:t>, piemēram</w:t>
      </w:r>
      <w:r w:rsidR="00AA6642">
        <w:rPr>
          <w:lang w:val="lv-LV"/>
        </w:rPr>
        <w:t>,</w:t>
      </w:r>
      <w:r w:rsidRPr="00AA6642">
        <w:rPr>
          <w:lang w:val="lv-LV"/>
        </w:rPr>
        <w:t xml:space="preserve"> veiktu ANO Konvencijas uzraudzību un sagatavotu valstu ziņojumus ANO komitejai (pārbaudīt ziņojumus savas valsts tīmekļa vietnē ANO!). Kopš ES ir parakstījusi un ratificējusi ANO Konvenciju, tas ir arī Eiropas Komisijas pienākums </w:t>
      </w:r>
    </w:p>
    <w:p w:rsidR="0002431B" w:rsidRPr="00AA6642" w:rsidRDefault="00FC7265" w:rsidP="00984EDB">
      <w:pPr>
        <w:pStyle w:val="ListParagraph"/>
        <w:numPr>
          <w:ilvl w:val="0"/>
          <w:numId w:val="20"/>
        </w:numPr>
        <w:rPr>
          <w:rFonts w:ascii="Times New Roman" w:eastAsia="Times New Roman" w:hAnsi="Times New Roman"/>
          <w:lang w:val="lv-LV" w:eastAsia="de-AT"/>
        </w:rPr>
      </w:pPr>
      <w:r w:rsidRPr="00AA6642">
        <w:rPr>
          <w:rFonts w:eastAsia="Times New Roman"/>
          <w:lang w:val="lv-LV" w:eastAsia="de-AT"/>
        </w:rPr>
        <w:t>Bez datiem, informācijas un kvalitatīv</w:t>
      </w:r>
      <w:r w:rsidR="00967C6C" w:rsidRPr="00AA6642">
        <w:rPr>
          <w:rFonts w:eastAsia="Times New Roman"/>
          <w:lang w:val="lv-LV" w:eastAsia="de-AT"/>
        </w:rPr>
        <w:t>u</w:t>
      </w:r>
      <w:r w:rsidRPr="00AA6642">
        <w:rPr>
          <w:rFonts w:eastAsia="Times New Roman"/>
          <w:lang w:val="lv-LV" w:eastAsia="de-AT"/>
        </w:rPr>
        <w:t xml:space="preserve"> pierādījum</w:t>
      </w:r>
      <w:r w:rsidR="00967C6C" w:rsidRPr="00AA6642">
        <w:rPr>
          <w:rFonts w:eastAsia="Times New Roman"/>
          <w:lang w:val="lv-LV" w:eastAsia="de-AT"/>
        </w:rPr>
        <w:t>u</w:t>
      </w:r>
    </w:p>
    <w:p w:rsidR="0002431B" w:rsidRPr="00AA6642" w:rsidRDefault="00FC7265" w:rsidP="00984EDB">
      <w:pPr>
        <w:pStyle w:val="ListParagraph"/>
        <w:numPr>
          <w:ilvl w:val="0"/>
          <w:numId w:val="21"/>
        </w:numPr>
        <w:rPr>
          <w:rFonts w:ascii="Times New Roman" w:eastAsia="Times New Roman" w:hAnsi="Times New Roman"/>
          <w:lang w:val="lv-LV" w:eastAsia="de-AT"/>
        </w:rPr>
      </w:pPr>
      <w:r w:rsidRPr="00AA6642">
        <w:rPr>
          <w:rFonts w:eastAsia="Times New Roman"/>
          <w:lang w:val="lv-LV" w:eastAsia="de-AT"/>
        </w:rPr>
        <w:t xml:space="preserve">Nav iespējams identificēt un izvērtēt </w:t>
      </w:r>
      <w:r w:rsidR="000959C6" w:rsidRPr="00AA6642">
        <w:rPr>
          <w:rFonts w:eastAsia="Times New Roman"/>
          <w:lang w:val="lv-LV" w:eastAsia="de-AT"/>
        </w:rPr>
        <w:t xml:space="preserve">ar invaliditāti saistītās </w:t>
      </w:r>
      <w:r w:rsidRPr="00AA6642">
        <w:rPr>
          <w:rFonts w:eastAsia="Times New Roman"/>
          <w:lang w:val="lv-LV" w:eastAsia="de-AT"/>
        </w:rPr>
        <w:t xml:space="preserve">vajadzības </w:t>
      </w:r>
      <w:r w:rsidR="000959C6" w:rsidRPr="00AA6642">
        <w:rPr>
          <w:rFonts w:eastAsia="Times New Roman"/>
          <w:lang w:val="lv-LV" w:eastAsia="de-AT"/>
        </w:rPr>
        <w:t>un ierobežojumus</w:t>
      </w:r>
    </w:p>
    <w:p w:rsidR="0002431B" w:rsidRPr="00AA6642" w:rsidRDefault="000959C6" w:rsidP="00984EDB">
      <w:pPr>
        <w:pStyle w:val="ListParagraph"/>
        <w:numPr>
          <w:ilvl w:val="0"/>
          <w:numId w:val="21"/>
        </w:numPr>
        <w:rPr>
          <w:rFonts w:ascii="Times New Roman" w:eastAsia="Times New Roman" w:hAnsi="Times New Roman"/>
          <w:lang w:val="lv-LV" w:eastAsia="de-AT"/>
        </w:rPr>
      </w:pPr>
      <w:r w:rsidRPr="00AA6642">
        <w:rPr>
          <w:lang w:val="lv-LV"/>
        </w:rPr>
        <w:t>nav priekšstata par problēmas apjomu, nepieciešamiem resursiem</w:t>
      </w:r>
    </w:p>
    <w:p w:rsidR="0002431B" w:rsidRPr="00AA6642" w:rsidRDefault="000959C6" w:rsidP="00984EDB">
      <w:pPr>
        <w:pStyle w:val="ListParagraph"/>
        <w:numPr>
          <w:ilvl w:val="0"/>
          <w:numId w:val="21"/>
        </w:numPr>
        <w:rPr>
          <w:rFonts w:eastAsia="Times New Roman"/>
          <w:lang w:val="lv-LV" w:eastAsia="de-AT"/>
        </w:rPr>
      </w:pPr>
      <w:r w:rsidRPr="00AA6642">
        <w:rPr>
          <w:rStyle w:val="shorttext"/>
          <w:lang w:val="lv-LV"/>
        </w:rPr>
        <w:t>nav sociālā pamatojuma resursu sadalei</w:t>
      </w:r>
    </w:p>
    <w:p w:rsidR="0002431B" w:rsidRPr="00AA6642" w:rsidRDefault="000959C6" w:rsidP="00984EDB">
      <w:pPr>
        <w:pStyle w:val="ListParagraph"/>
        <w:numPr>
          <w:ilvl w:val="0"/>
          <w:numId w:val="21"/>
        </w:numPr>
        <w:rPr>
          <w:rFonts w:ascii="Times New Roman" w:eastAsia="Times New Roman" w:hAnsi="Times New Roman"/>
          <w:lang w:val="lv-LV" w:eastAsia="de-AT"/>
        </w:rPr>
      </w:pPr>
      <w:r w:rsidRPr="00AA6642">
        <w:rPr>
          <w:lang w:val="lv-LV"/>
        </w:rPr>
        <w:t>nav sistemātiska sociālā reakcija uz vajadzībām vai ierobežojumiem</w:t>
      </w:r>
    </w:p>
    <w:p w:rsidR="0002431B" w:rsidRPr="00AA6642" w:rsidRDefault="00967C6C" w:rsidP="00984EDB">
      <w:pPr>
        <w:pStyle w:val="ListParagraph"/>
        <w:numPr>
          <w:ilvl w:val="0"/>
          <w:numId w:val="21"/>
        </w:numPr>
        <w:rPr>
          <w:rFonts w:ascii="Times New Roman" w:eastAsia="Times New Roman" w:hAnsi="Times New Roman"/>
          <w:lang w:val="lv-LV" w:eastAsia="de-AT"/>
        </w:rPr>
      </w:pPr>
      <w:r w:rsidRPr="00AA6642">
        <w:rPr>
          <w:rFonts w:eastAsia="Times New Roman"/>
          <w:lang w:val="lv-LV" w:eastAsia="de-AT"/>
        </w:rPr>
        <w:t>n</w:t>
      </w:r>
      <w:r w:rsidR="000959C6" w:rsidRPr="00AA6642">
        <w:rPr>
          <w:rFonts w:eastAsia="Times New Roman"/>
          <w:lang w:val="lv-LV" w:eastAsia="de-AT"/>
        </w:rPr>
        <w:t>av iespējama cilvēktiesību īstenošana!</w:t>
      </w:r>
    </w:p>
    <w:p w:rsidR="0002431B" w:rsidRPr="00AA6642" w:rsidRDefault="00DE0267" w:rsidP="009437F1">
      <w:pPr>
        <w:pStyle w:val="Heading2"/>
        <w:rPr>
          <w:lang w:val="lv-LV"/>
        </w:rPr>
      </w:pPr>
      <w:bookmarkStart w:id="57" w:name="_Toc443312626"/>
      <w:bookmarkStart w:id="58" w:name="_Toc444090597"/>
      <w:r w:rsidRPr="00AA6642">
        <w:rPr>
          <w:lang w:val="lv-LV"/>
        </w:rPr>
        <w:t xml:space="preserve">IV.4.2 </w:t>
      </w:r>
      <w:bookmarkEnd w:id="57"/>
      <w:bookmarkEnd w:id="58"/>
      <w:r w:rsidR="000959C6" w:rsidRPr="00AA6642">
        <w:rPr>
          <w:lang w:val="lv-LV"/>
        </w:rPr>
        <w:t>Invaliditātes mērīšana</w:t>
      </w:r>
    </w:p>
    <w:p w:rsidR="0002431B" w:rsidRPr="00AA6642" w:rsidRDefault="000959C6" w:rsidP="00DE0267">
      <w:pPr>
        <w:spacing w:after="0"/>
        <w:rPr>
          <w:b/>
          <w:lang w:val="lv-LV"/>
        </w:rPr>
      </w:pPr>
      <w:r w:rsidRPr="00AA6642">
        <w:rPr>
          <w:b/>
          <w:lang w:val="lv-LV"/>
        </w:rPr>
        <w:t>Galvenie datu vākšanas veidi</w:t>
      </w:r>
      <w:r w:rsidR="0002431B" w:rsidRPr="00AA6642">
        <w:rPr>
          <w:b/>
          <w:lang w:val="lv-LV"/>
        </w:rPr>
        <w:t xml:space="preserve">: </w:t>
      </w:r>
    </w:p>
    <w:p w:rsidR="0002431B" w:rsidRPr="00AA6642" w:rsidRDefault="000959C6" w:rsidP="00984EDB">
      <w:pPr>
        <w:pStyle w:val="ListParagraph"/>
        <w:numPr>
          <w:ilvl w:val="0"/>
          <w:numId w:val="33"/>
        </w:numPr>
        <w:rPr>
          <w:lang w:val="lv-LV"/>
        </w:rPr>
      </w:pPr>
      <w:r w:rsidRPr="00AA6642">
        <w:rPr>
          <w:b/>
          <w:lang w:val="lv-LV"/>
        </w:rPr>
        <w:t>Tautas skaitīšana</w:t>
      </w:r>
      <w:r w:rsidRPr="00AA6642">
        <w:rPr>
          <w:lang w:val="lv-LV"/>
        </w:rPr>
        <w:t>: priekšrocība ir, ka tiek aptverti pilnīgi visi iedzīvotāji, bet grūti skaitīšanas laikā apkopot precīzu informāciju par invaliditāti , jo ir laika ierobežojumi.</w:t>
      </w:r>
    </w:p>
    <w:p w:rsidR="0002431B" w:rsidRPr="00AA6642" w:rsidRDefault="00996AD8" w:rsidP="00984EDB">
      <w:pPr>
        <w:pStyle w:val="ListParagraph"/>
        <w:numPr>
          <w:ilvl w:val="0"/>
          <w:numId w:val="33"/>
        </w:numPr>
        <w:rPr>
          <w:lang w:val="lv-LV"/>
        </w:rPr>
      </w:pPr>
      <w:r w:rsidRPr="00AA6642">
        <w:rPr>
          <w:b/>
          <w:lang w:val="lv-LV"/>
        </w:rPr>
        <w:t>Paraug</w:t>
      </w:r>
      <w:r w:rsidR="000959C6" w:rsidRPr="00AA6642">
        <w:rPr>
          <w:b/>
          <w:lang w:val="lv-LV"/>
        </w:rPr>
        <w:t xml:space="preserve"> apsekojumi</w:t>
      </w:r>
      <w:r w:rsidR="000959C6" w:rsidRPr="00AA6642">
        <w:rPr>
          <w:lang w:val="lv-LV"/>
        </w:rPr>
        <w:t>: iespēja uzdot sī</w:t>
      </w:r>
      <w:r w:rsidRPr="00AA6642">
        <w:rPr>
          <w:lang w:val="lv-LV"/>
        </w:rPr>
        <w:t>kākus jautājumus par iedzīvotājiem</w:t>
      </w:r>
      <w:r w:rsidR="000959C6" w:rsidRPr="00AA6642">
        <w:rPr>
          <w:lang w:val="lv-LV"/>
        </w:rPr>
        <w:t>; var būt neatkarīga aptauja, koncentrējoties tikai uz invaliditātes</w:t>
      </w:r>
      <w:r w:rsidRPr="00AA6642">
        <w:rPr>
          <w:lang w:val="lv-LV"/>
        </w:rPr>
        <w:t xml:space="preserve"> aspektiem</w:t>
      </w:r>
    </w:p>
    <w:p w:rsidR="0002431B" w:rsidRPr="00AA6642" w:rsidRDefault="00996AD8" w:rsidP="00984EDB">
      <w:pPr>
        <w:pStyle w:val="ListParagraph"/>
        <w:numPr>
          <w:ilvl w:val="0"/>
          <w:numId w:val="33"/>
        </w:numPr>
        <w:rPr>
          <w:lang w:val="lv-LV"/>
        </w:rPr>
      </w:pPr>
      <w:r w:rsidRPr="00AA6642">
        <w:rPr>
          <w:b/>
          <w:lang w:val="lv-LV"/>
        </w:rPr>
        <w:t>Administratīvie datu apkopojumi un reģistri</w:t>
      </w:r>
      <w:r w:rsidRPr="00AA6642">
        <w:rPr>
          <w:lang w:val="lv-LV"/>
        </w:rPr>
        <w:t>: daļa no normālas pakalpojumu s vai programmu</w:t>
      </w:r>
      <w:r w:rsidR="00AA6642">
        <w:rPr>
          <w:lang w:val="lv-LV"/>
        </w:rPr>
        <w:t xml:space="preserve"> </w:t>
      </w:r>
      <w:r w:rsidRPr="00AA6642">
        <w:rPr>
          <w:lang w:val="lv-LV"/>
        </w:rPr>
        <w:t>darbība; proti, informācija atrodama klienta lietā. Sniedz noderīgu informāciju par cilvēkiem , kuri saņem pakalpojumus personām ar invaliditāti, kā arī informāciju par sniegtajiem pakalpojumiem; nevar sniegt precīzu pārskatu par  invaliditātes izplatību un mēdz iekļaut divkāršu uzskaiti. Datu kvalitāte ir cieši saistīta ar administratīvās sistēmas kvalitāti, jo īpaši jāņem vērā, cik cieši koncepti saskan ar invaliditāti intereses pārstāvošiem konceptiem.</w:t>
      </w:r>
    </w:p>
    <w:p w:rsidR="0002431B" w:rsidRPr="00AA6642" w:rsidRDefault="00996AD8" w:rsidP="00DE0267">
      <w:pPr>
        <w:spacing w:after="0"/>
        <w:rPr>
          <w:b/>
          <w:lang w:val="lv-LV"/>
        </w:rPr>
      </w:pPr>
      <w:r w:rsidRPr="00AA6642">
        <w:rPr>
          <w:b/>
          <w:lang w:val="lv-LV"/>
        </w:rPr>
        <w:t>Dažādas pieejas invaliditātes mērījumiem</w:t>
      </w:r>
      <w:r w:rsidR="0002431B" w:rsidRPr="00AA6642">
        <w:rPr>
          <w:b/>
          <w:lang w:val="lv-LV"/>
        </w:rPr>
        <w:t xml:space="preserve">: </w:t>
      </w:r>
    </w:p>
    <w:p w:rsidR="0002431B" w:rsidRPr="00AA6642" w:rsidRDefault="00996AD8" w:rsidP="00984EDB">
      <w:pPr>
        <w:pStyle w:val="ListParagraph"/>
        <w:numPr>
          <w:ilvl w:val="0"/>
          <w:numId w:val="34"/>
        </w:numPr>
        <w:rPr>
          <w:lang w:val="lv-LV"/>
        </w:rPr>
      </w:pPr>
      <w:r w:rsidRPr="00AA6642">
        <w:rPr>
          <w:b/>
          <w:bCs/>
          <w:lang w:val="lv-LV"/>
        </w:rPr>
        <w:t>Traucējumu pieeja</w:t>
      </w:r>
      <w:r w:rsidR="0002431B" w:rsidRPr="00AA6642">
        <w:rPr>
          <w:lang w:val="lv-LV"/>
        </w:rPr>
        <w:t xml:space="preserve">: </w:t>
      </w:r>
      <w:r w:rsidRPr="00AA6642">
        <w:rPr>
          <w:lang w:val="lv-LV"/>
        </w:rPr>
        <w:t>paļaujas tikai uz ķermeņa funkciju un struktūru; komponenti saistīti ar veselību saistīt</w:t>
      </w:r>
      <w:r w:rsidR="00554464" w:rsidRPr="00AA6642">
        <w:rPr>
          <w:lang w:val="lv-LV"/>
        </w:rPr>
        <w:t>ām</w:t>
      </w:r>
      <w:r w:rsidRPr="00AA6642">
        <w:rPr>
          <w:lang w:val="lv-LV"/>
        </w:rPr>
        <w:t xml:space="preserve"> problēm</w:t>
      </w:r>
      <w:r w:rsidR="00554464" w:rsidRPr="00AA6642">
        <w:rPr>
          <w:lang w:val="lv-LV"/>
        </w:rPr>
        <w:t>ām</w:t>
      </w:r>
      <w:r w:rsidRPr="00AA6642">
        <w:rPr>
          <w:lang w:val="lv-LV"/>
        </w:rPr>
        <w:t>; ļoti bieži</w:t>
      </w:r>
      <w:r w:rsidR="00554464" w:rsidRPr="00AA6642">
        <w:rPr>
          <w:lang w:val="lv-LV"/>
        </w:rPr>
        <w:t xml:space="preserve"> sastopama </w:t>
      </w:r>
      <w:r w:rsidR="00AA6642" w:rsidRPr="00AA6642">
        <w:rPr>
          <w:lang w:val="lv-LV"/>
        </w:rPr>
        <w:t>pieeja</w:t>
      </w:r>
      <w:r w:rsidR="00554464" w:rsidRPr="00AA6642">
        <w:rPr>
          <w:lang w:val="lv-LV"/>
        </w:rPr>
        <w:t>, vienkārša</w:t>
      </w:r>
      <w:r w:rsidRPr="00AA6642">
        <w:rPr>
          <w:lang w:val="lv-LV"/>
        </w:rPr>
        <w:t xml:space="preserve"> un </w:t>
      </w:r>
      <w:r w:rsidRPr="00AA6642">
        <w:rPr>
          <w:lang w:val="lv-LV"/>
        </w:rPr>
        <w:lastRenderedPageBreak/>
        <w:t xml:space="preserve">naiva un </w:t>
      </w:r>
      <w:r w:rsidR="00554464" w:rsidRPr="00AA6642">
        <w:rPr>
          <w:lang w:val="lv-LV"/>
        </w:rPr>
        <w:t xml:space="preserve">ar </w:t>
      </w:r>
      <w:r w:rsidRPr="00AA6642">
        <w:rPr>
          <w:lang w:val="lv-LV"/>
        </w:rPr>
        <w:t>tīri medicīn</w:t>
      </w:r>
      <w:r w:rsidR="00554464" w:rsidRPr="00AA6642">
        <w:rPr>
          <w:lang w:val="lv-LV"/>
        </w:rPr>
        <w:t>iskiem</w:t>
      </w:r>
      <w:r w:rsidRPr="00AA6642">
        <w:rPr>
          <w:lang w:val="lv-LV"/>
        </w:rPr>
        <w:t xml:space="preserve"> priekšstatiem </w:t>
      </w:r>
      <w:r w:rsidR="00554464" w:rsidRPr="00AA6642">
        <w:rPr>
          <w:lang w:val="lv-LV"/>
        </w:rPr>
        <w:t>par invaliditāti</w:t>
      </w:r>
      <w:r w:rsidRPr="00AA6642">
        <w:rPr>
          <w:lang w:val="lv-LV"/>
        </w:rPr>
        <w:t xml:space="preserve">. </w:t>
      </w:r>
      <w:r w:rsidR="00554464" w:rsidRPr="00AA6642">
        <w:rPr>
          <w:lang w:val="lv-LV"/>
        </w:rPr>
        <w:t>Tā kā</w:t>
      </w:r>
      <w:r w:rsidRPr="00AA6642">
        <w:rPr>
          <w:lang w:val="lv-LV"/>
        </w:rPr>
        <w:t xml:space="preserve">ā jautājumiem par traucējumiem </w:t>
      </w:r>
      <w:r w:rsidR="00554464" w:rsidRPr="00AA6642">
        <w:rPr>
          <w:lang w:val="lv-LV"/>
        </w:rPr>
        <w:t>attiecas vairāk uz</w:t>
      </w:r>
      <w:r w:rsidRPr="00AA6642">
        <w:rPr>
          <w:lang w:val="lv-LV"/>
        </w:rPr>
        <w:t xml:space="preserve"> respondentu veselības stāvokli, nevis</w:t>
      </w:r>
      <w:r w:rsidR="00554464" w:rsidRPr="00AA6642">
        <w:rPr>
          <w:lang w:val="lv-LV"/>
        </w:rPr>
        <w:t xml:space="preserve"> </w:t>
      </w:r>
      <w:r w:rsidRPr="00AA6642">
        <w:rPr>
          <w:lang w:val="lv-LV"/>
        </w:rPr>
        <w:t xml:space="preserve">ikdienas dzīvi, </w:t>
      </w:r>
      <w:r w:rsidR="00554464" w:rsidRPr="00AA6642">
        <w:rPr>
          <w:lang w:val="lv-LV"/>
        </w:rPr>
        <w:t xml:space="preserve">šai pieejā </w:t>
      </w:r>
      <w:r w:rsidRPr="00AA6642">
        <w:rPr>
          <w:lang w:val="lv-LV"/>
        </w:rPr>
        <w:t>ir te</w:t>
      </w:r>
      <w:r w:rsidR="00554464" w:rsidRPr="00AA6642">
        <w:rPr>
          <w:lang w:val="lv-LV"/>
        </w:rPr>
        <w:t>ndence nepietiekami ziņot par patiesiem traucējumiem</w:t>
      </w:r>
      <w:r w:rsidRPr="00AA6642">
        <w:rPr>
          <w:lang w:val="lv-LV"/>
        </w:rPr>
        <w:t>.</w:t>
      </w:r>
    </w:p>
    <w:p w:rsidR="00DE0267" w:rsidRPr="00AA6642" w:rsidRDefault="00554464" w:rsidP="00984EDB">
      <w:pPr>
        <w:pStyle w:val="ListParagraph"/>
        <w:numPr>
          <w:ilvl w:val="0"/>
          <w:numId w:val="34"/>
        </w:numPr>
        <w:rPr>
          <w:lang w:val="lv-LV"/>
        </w:rPr>
      </w:pPr>
      <w:r w:rsidRPr="00AA6642">
        <w:rPr>
          <w:b/>
          <w:bCs/>
          <w:lang w:val="lv-LV"/>
        </w:rPr>
        <w:t>Vides faktoru pieeja</w:t>
      </w:r>
      <w:r w:rsidR="0002431B" w:rsidRPr="00AA6642">
        <w:rPr>
          <w:b/>
          <w:bCs/>
          <w:lang w:val="lv-LV"/>
        </w:rPr>
        <w:t xml:space="preserve">: </w:t>
      </w:r>
      <w:r w:rsidRPr="00AA6642">
        <w:rPr>
          <w:lang w:val="lv-LV"/>
        </w:rPr>
        <w:t>vides faktori var kavēt vai veicināt funkcionēšanu; var sniegt informāciju par ietekmi uz līdzdalību; pieeja ir mazāk izplatīta nekā cita veida jautājumi. Nav informācijas par invaliditātes izplatību, bet var sniegt noderīgu informāciju par personu ar invaliditāti pieredzi; jautājumi galvenokārt ir saistīti ar nepieciešamību pēc  palīdzības un tās saņemšanas kārtību, ieskaitot  produktu un  tehnoloģiju elementus, atbalstu un attiecības un pakalpojumus, sistēmas un politiku.</w:t>
      </w:r>
    </w:p>
    <w:p w:rsidR="0002431B" w:rsidRPr="00AA6642" w:rsidRDefault="00554464" w:rsidP="00984EDB">
      <w:pPr>
        <w:pStyle w:val="ListParagraph"/>
        <w:numPr>
          <w:ilvl w:val="0"/>
          <w:numId w:val="34"/>
        </w:numPr>
        <w:rPr>
          <w:lang w:val="lv-LV"/>
        </w:rPr>
      </w:pPr>
      <w:r w:rsidRPr="00AA6642">
        <w:rPr>
          <w:b/>
          <w:bCs/>
          <w:lang w:val="lv-LV"/>
        </w:rPr>
        <w:t>Vispusīga pieeja</w:t>
      </w:r>
      <w:r w:rsidR="0002431B" w:rsidRPr="00AA6642">
        <w:rPr>
          <w:rStyle w:val="FootnoteReference"/>
          <w:rFonts w:ascii="Calibri" w:hAnsi="Calibri"/>
          <w:b/>
          <w:bCs/>
          <w:color w:val="000000"/>
          <w:kern w:val="24"/>
          <w:lang w:val="lv-LV"/>
        </w:rPr>
        <w:footnoteReference w:id="3"/>
      </w:r>
      <w:r w:rsidR="0002431B" w:rsidRPr="00AA6642">
        <w:rPr>
          <w:b/>
          <w:bCs/>
          <w:lang w:val="lv-LV"/>
        </w:rPr>
        <w:t xml:space="preserve">: </w:t>
      </w:r>
      <w:r w:rsidR="000D7617" w:rsidRPr="00AA6642">
        <w:rPr>
          <w:lang w:val="lv-LV"/>
        </w:rPr>
        <w:t>jo citas pieejas nespēj sni</w:t>
      </w:r>
      <w:r w:rsidR="00967C6C" w:rsidRPr="00AA6642">
        <w:rPr>
          <w:lang w:val="lv-LV"/>
        </w:rPr>
        <w:t>egt datus, kas nepieciešami</w:t>
      </w:r>
      <w:r w:rsidR="000D7617" w:rsidRPr="00AA6642">
        <w:rPr>
          <w:lang w:val="lv-LV"/>
        </w:rPr>
        <w:t xml:space="preserve"> validētiem mērījumiem par invaliditātes izplatību. Derīgiem invaliditātes izplatības datiem ir jāizriet no informācijas par indivīdu faktiskajiem ierobežojumiem pildot darbības, uzdevumus un sociālās lomas faktiskā fiziskā, sociālā un attieksmes vidē, kurā šī persona dzīvo. No otras puses, ir vajadzīga informācija par traucējumiem un ierobežojumiem personas statusā. Šie dati ir būtiski, lai izskaidrotu invaliditāti individuālā gadījumā, un izskaidrotu invaliditātes izplatību populācijā. Tāpēc mums ir nepieciešama visaptveroša pieeja, kas ir daudzpusīga un aptver invaliditātes pieredzes pilnu spektru.</w:t>
      </w:r>
    </w:p>
    <w:p w:rsidR="0002431B" w:rsidRPr="00AA6642" w:rsidRDefault="00A6374C" w:rsidP="009437F1">
      <w:pPr>
        <w:pStyle w:val="Heading2"/>
        <w:rPr>
          <w:lang w:val="lv-LV"/>
        </w:rPr>
      </w:pPr>
      <w:bookmarkStart w:id="59" w:name="_Toc443312627"/>
      <w:bookmarkStart w:id="60" w:name="_Toc444090598"/>
      <w:r w:rsidRPr="00AA6642">
        <w:rPr>
          <w:lang w:val="lv-LV"/>
        </w:rPr>
        <w:t>IV.4.</w:t>
      </w:r>
      <w:r w:rsidR="005254B0" w:rsidRPr="00AA6642">
        <w:rPr>
          <w:lang w:val="lv-LV"/>
        </w:rPr>
        <w:t>3</w:t>
      </w:r>
      <w:r w:rsidRPr="00AA6642">
        <w:rPr>
          <w:lang w:val="lv-LV"/>
        </w:rPr>
        <w:t xml:space="preserve"> </w:t>
      </w:r>
      <w:bookmarkEnd w:id="59"/>
      <w:bookmarkEnd w:id="60"/>
      <w:r w:rsidR="000D7617" w:rsidRPr="00AA6642">
        <w:rPr>
          <w:lang w:val="lv-LV"/>
        </w:rPr>
        <w:t>ANO Konvencijas monitorings un ieviešana</w:t>
      </w:r>
    </w:p>
    <w:p w:rsidR="0002431B" w:rsidRPr="00AA6642" w:rsidRDefault="000D7617" w:rsidP="00A6374C">
      <w:pPr>
        <w:spacing w:after="0"/>
        <w:rPr>
          <w:rFonts w:ascii="Times New Roman" w:eastAsia="Times New Roman" w:hAnsi="Times New Roman"/>
          <w:lang w:val="lv-LV" w:eastAsia="de-AT"/>
        </w:rPr>
      </w:pPr>
      <w:r w:rsidRPr="00AA6642">
        <w:rPr>
          <w:rFonts w:eastAsia="Times New Roman"/>
          <w:lang w:val="lv-LV" w:eastAsia="de-AT"/>
        </w:rPr>
        <w:t xml:space="preserve">ANO Konvencijas </w:t>
      </w:r>
      <w:r w:rsidR="0002431B" w:rsidRPr="00AA6642">
        <w:rPr>
          <w:rFonts w:eastAsia="Times New Roman"/>
          <w:lang w:val="lv-LV" w:eastAsia="de-AT"/>
        </w:rPr>
        <w:t>33</w:t>
      </w:r>
      <w:r w:rsidR="00A26252" w:rsidRPr="00AA6642">
        <w:rPr>
          <w:rFonts w:eastAsia="Times New Roman"/>
          <w:lang w:val="lv-LV" w:eastAsia="de-AT"/>
        </w:rPr>
        <w:t xml:space="preserve">.pants nosaka, ka </w:t>
      </w:r>
      <w:r w:rsidR="0002431B" w:rsidRPr="00AA6642">
        <w:rPr>
          <w:rFonts w:eastAsia="Times New Roman"/>
          <w:lang w:val="lv-LV" w:eastAsia="de-AT"/>
        </w:rPr>
        <w:t xml:space="preserve"> </w:t>
      </w:r>
    </w:p>
    <w:p w:rsidR="0002431B" w:rsidRPr="00AA6642" w:rsidRDefault="00A26252" w:rsidP="00984EDB">
      <w:pPr>
        <w:pStyle w:val="ListParagraph"/>
        <w:numPr>
          <w:ilvl w:val="0"/>
          <w:numId w:val="35"/>
        </w:numPr>
        <w:rPr>
          <w:rFonts w:eastAsia="Times New Roman"/>
          <w:lang w:val="lv-LV" w:eastAsia="de-AT"/>
        </w:rPr>
      </w:pPr>
      <w:r w:rsidRPr="00AA6642">
        <w:rPr>
          <w:rFonts w:eastAsia="Times New Roman"/>
          <w:lang w:val="lv-LV" w:eastAsia="de-AT"/>
        </w:rPr>
        <w:t xml:space="preserve">Dalībvalstis valsts pārvaldes sistēmas ietvaros izveido </w:t>
      </w:r>
      <w:r w:rsidRPr="00AA6642">
        <w:rPr>
          <w:rFonts w:eastAsia="Times New Roman"/>
          <w:b/>
          <w:lang w:val="lv-LV" w:eastAsia="de-AT"/>
        </w:rPr>
        <w:t>vienu vai vairākus kontaktpunktus</w:t>
      </w:r>
      <w:r w:rsidRPr="00AA6642">
        <w:rPr>
          <w:rFonts w:eastAsia="Times New Roman"/>
          <w:lang w:val="lv-LV" w:eastAsia="de-AT"/>
        </w:rPr>
        <w:t xml:space="preserve">, kas nodarbojas ar jautājumiem saistībā ar šīs konvencijas īstenošanu, un pienācīgi izskata iespēju pārvaldes sistēmā </w:t>
      </w:r>
      <w:r w:rsidRPr="00AA6642">
        <w:rPr>
          <w:rFonts w:eastAsia="Times New Roman"/>
          <w:b/>
          <w:lang w:val="lv-LV" w:eastAsia="de-AT"/>
        </w:rPr>
        <w:t>izveidot vai noteikt koordinējošu mehānismu</w:t>
      </w:r>
      <w:r w:rsidRPr="00AA6642">
        <w:rPr>
          <w:rFonts w:eastAsia="Times New Roman"/>
          <w:lang w:val="lv-LV" w:eastAsia="de-AT"/>
        </w:rPr>
        <w:t>, lai atvieglotu darbības, kas saistītas ar šīs konvencijas īstenošanu dažādos sektoros un dažādos līmeņos.</w:t>
      </w:r>
    </w:p>
    <w:p w:rsidR="0002431B" w:rsidRPr="00AA6642" w:rsidRDefault="00A26252" w:rsidP="00984EDB">
      <w:pPr>
        <w:pStyle w:val="ListParagraph"/>
        <w:numPr>
          <w:ilvl w:val="0"/>
          <w:numId w:val="35"/>
        </w:numPr>
        <w:rPr>
          <w:rFonts w:ascii="Times New Roman" w:eastAsia="Times New Roman" w:hAnsi="Times New Roman"/>
          <w:lang w:val="lv-LV" w:eastAsia="de-AT"/>
        </w:rPr>
      </w:pPr>
      <w:r w:rsidRPr="00AA6642">
        <w:rPr>
          <w:rFonts w:eastAsia="Times New Roman"/>
          <w:lang w:val="lv-LV" w:eastAsia="de-AT"/>
        </w:rPr>
        <w:t xml:space="preserve">Dalībvalstis atbilstoši savai juridiskajai un administratīvajai sistēmai </w:t>
      </w:r>
      <w:r w:rsidRPr="00AA6642">
        <w:rPr>
          <w:rFonts w:eastAsia="Times New Roman"/>
          <w:b/>
          <w:lang w:val="lv-LV" w:eastAsia="de-AT"/>
        </w:rPr>
        <w:t>saglabā, pastiprina, nosaka vai izveido valsts iekšienē struktūru</w:t>
      </w:r>
      <w:r w:rsidRPr="00AA6642">
        <w:rPr>
          <w:rFonts w:eastAsia="Times New Roman"/>
          <w:lang w:val="lv-LV" w:eastAsia="de-AT"/>
        </w:rPr>
        <w:t xml:space="preserve">, tostarp vienu vai, ja vajadzīgs, vairākus neatkarīgus mehānismus, lai veicinātu, aizsargātu un pārraudzītu šīs konvencijas īstenošanu. Nosakot vai izveidojot šādu mehānismu, dalībvalstis ņem </w:t>
      </w:r>
      <w:r w:rsidRPr="00AA6642">
        <w:rPr>
          <w:rFonts w:eastAsia="Times New Roman"/>
          <w:lang w:val="lv-LV" w:eastAsia="de-AT"/>
        </w:rPr>
        <w:lastRenderedPageBreak/>
        <w:t>vērā principus, kas attiecas uz valsts cilvēktiesību aizsardzības un veicināšanas iestāžu statusu un darbību.</w:t>
      </w:r>
    </w:p>
    <w:p w:rsidR="0002431B" w:rsidRPr="00AA6642" w:rsidRDefault="00A26252" w:rsidP="00984EDB">
      <w:pPr>
        <w:pStyle w:val="ListParagraph"/>
        <w:numPr>
          <w:ilvl w:val="0"/>
          <w:numId w:val="35"/>
        </w:numPr>
        <w:rPr>
          <w:rFonts w:ascii="Times New Roman" w:eastAsia="Times New Roman" w:hAnsi="Times New Roman"/>
          <w:lang w:val="lv-LV" w:eastAsia="de-AT"/>
        </w:rPr>
      </w:pPr>
      <w:r w:rsidRPr="00AA6642">
        <w:rPr>
          <w:rFonts w:eastAsia="Times New Roman"/>
          <w:b/>
          <w:lang w:val="lv-LV" w:eastAsia="de-AT"/>
        </w:rPr>
        <w:t>Pārraudzības procesā pilnībā iesaistās un piedalās pilsoniskā sabiedrība</w:t>
      </w:r>
      <w:r w:rsidRPr="00AA6642">
        <w:rPr>
          <w:rFonts w:eastAsia="Times New Roman"/>
          <w:lang w:val="lv-LV" w:eastAsia="de-AT"/>
        </w:rPr>
        <w:t>, jo īpaši personas ar invaliditāti un tos pārstāvošās organizācijas.</w:t>
      </w:r>
    </w:p>
    <w:p w:rsidR="00A26252" w:rsidRPr="00AA6642" w:rsidRDefault="00A26252" w:rsidP="00A26252">
      <w:pPr>
        <w:pStyle w:val="ListParagraph"/>
        <w:rPr>
          <w:rFonts w:ascii="Times New Roman" w:eastAsia="Times New Roman" w:hAnsi="Times New Roman"/>
          <w:lang w:val="lv-LV" w:eastAsia="de-AT"/>
        </w:rPr>
      </w:pPr>
    </w:p>
    <w:p w:rsidR="0002431B" w:rsidRPr="00AA6642" w:rsidRDefault="0002431B" w:rsidP="009437F1">
      <w:pPr>
        <w:pStyle w:val="Heading2"/>
        <w:rPr>
          <w:lang w:val="lv-LV"/>
        </w:rPr>
      </w:pPr>
      <w:bookmarkStart w:id="61" w:name="_Toc443312628"/>
      <w:bookmarkStart w:id="62" w:name="_Toc444090599"/>
      <w:r w:rsidRPr="00AA6642">
        <w:rPr>
          <w:lang w:val="lv-LV"/>
        </w:rPr>
        <w:t>IV.4</w:t>
      </w:r>
      <w:r w:rsidR="005254B0" w:rsidRPr="00AA6642">
        <w:rPr>
          <w:lang w:val="lv-LV"/>
        </w:rPr>
        <w:t>.4</w:t>
      </w:r>
      <w:r w:rsidRPr="00AA6642">
        <w:rPr>
          <w:lang w:val="lv-LV"/>
        </w:rPr>
        <w:t xml:space="preserve"> </w:t>
      </w:r>
      <w:bookmarkEnd w:id="61"/>
      <w:bookmarkEnd w:id="62"/>
      <w:r w:rsidR="00A26252" w:rsidRPr="00AA6642">
        <w:rPr>
          <w:lang w:val="lv-LV"/>
        </w:rPr>
        <w:t>standarta monitoringa shēma</w:t>
      </w:r>
    </w:p>
    <w:p w:rsidR="00A26252" w:rsidRPr="00AA6642" w:rsidRDefault="00A26252" w:rsidP="00936B86">
      <w:pPr>
        <w:rPr>
          <w:lang w:val="lv-LV"/>
        </w:rPr>
      </w:pPr>
      <w:r w:rsidRPr="00AA6642">
        <w:rPr>
          <w:lang w:val="lv-LV"/>
        </w:rPr>
        <w:t xml:space="preserve">ANO Konvencijas mērķis ir (aprakstīts 1. pantā), veicināt, aizsargāt un nodrošināt, lai visas personas ar invaliditāti varētu pilnībā un vienlīdzīgi izmantot visas cilvēktiesības un pamatbrīvības, un veicināt tām piemītošās cieņas ievērošanu. </w:t>
      </w:r>
    </w:p>
    <w:p w:rsidR="0002431B" w:rsidRPr="00AA6642" w:rsidRDefault="00A26252" w:rsidP="00936B86">
      <w:pPr>
        <w:rPr>
          <w:rFonts w:ascii="Times New Roman" w:eastAsia="Times New Roman" w:hAnsi="Times New Roman"/>
          <w:lang w:val="lv-LV" w:eastAsia="de-AT"/>
        </w:rPr>
      </w:pPr>
      <w:r w:rsidRPr="00AA6642">
        <w:rPr>
          <w:lang w:val="lv-LV"/>
        </w:rPr>
        <w:t>Pie personām ar invaliditāti pieder personas, kurām ir ilgstoši fiziski, garīgi, intelektuāli vai maņu traucējumi, kas mijiedarbībā ar dažādiem šķēršļiem var apgrūtināt to pilnvērtīgu un efektīvu līdzdalību sabiedrības dzīvē vienlīdzīgi ar citiem.</w:t>
      </w:r>
    </w:p>
    <w:p w:rsidR="0002431B" w:rsidRPr="00AA6642" w:rsidRDefault="00A26252" w:rsidP="009437F1">
      <w:pPr>
        <w:spacing w:after="0"/>
        <w:rPr>
          <w:rFonts w:ascii="Times New Roman" w:eastAsia="Times New Roman" w:hAnsi="Times New Roman"/>
          <w:lang w:val="lv-LV" w:eastAsia="de-AT"/>
        </w:rPr>
      </w:pPr>
      <w:r w:rsidRPr="00AA6642">
        <w:rPr>
          <w:rFonts w:eastAsia="Times New Roman"/>
          <w:lang w:val="lv-LV" w:eastAsia="de-AT"/>
        </w:rPr>
        <w:t xml:space="preserve">Lai no vārdiem pārietu pie darbiem un ieviestu dzīvē ANO Konvenciju, valstīm ir jāievieš standarta monitoringa shēma, ietverot  </w:t>
      </w:r>
    </w:p>
    <w:p w:rsidR="0002431B" w:rsidRPr="00AA6642" w:rsidRDefault="00A26252" w:rsidP="00984EDB">
      <w:pPr>
        <w:pStyle w:val="ListParagraph"/>
        <w:numPr>
          <w:ilvl w:val="0"/>
          <w:numId w:val="22"/>
        </w:numPr>
        <w:rPr>
          <w:rFonts w:ascii="Times New Roman" w:eastAsia="Times New Roman" w:hAnsi="Times New Roman"/>
          <w:lang w:val="lv-LV" w:eastAsia="de-AT"/>
        </w:rPr>
      </w:pPr>
      <w:r w:rsidRPr="00AA6642">
        <w:rPr>
          <w:rFonts w:eastAsia="Times New Roman"/>
          <w:lang w:val="lv-LV" w:eastAsia="de-AT"/>
        </w:rPr>
        <w:t>Tiesības noteikt mērķus</w:t>
      </w:r>
    </w:p>
    <w:p w:rsidR="0002431B" w:rsidRPr="00AA6642" w:rsidRDefault="00A26252" w:rsidP="00984EDB">
      <w:pPr>
        <w:pStyle w:val="ListParagraph"/>
        <w:numPr>
          <w:ilvl w:val="0"/>
          <w:numId w:val="22"/>
        </w:numPr>
        <w:rPr>
          <w:rFonts w:ascii="Times New Roman" w:eastAsia="Times New Roman" w:hAnsi="Times New Roman"/>
          <w:lang w:val="lv-LV" w:eastAsia="de-AT"/>
        </w:rPr>
      </w:pPr>
      <w:r w:rsidRPr="00AA6642">
        <w:rPr>
          <w:rFonts w:eastAsia="Times New Roman"/>
          <w:lang w:val="lv-LV" w:eastAsia="de-AT"/>
        </w:rPr>
        <w:t>mērķus</w:t>
      </w:r>
    </w:p>
    <w:p w:rsidR="0002431B" w:rsidRPr="00AA6642" w:rsidRDefault="00A26252" w:rsidP="00984EDB">
      <w:pPr>
        <w:pStyle w:val="ListParagraph"/>
        <w:numPr>
          <w:ilvl w:val="0"/>
          <w:numId w:val="22"/>
        </w:numPr>
        <w:rPr>
          <w:rFonts w:ascii="Times New Roman" w:eastAsia="Times New Roman" w:hAnsi="Times New Roman"/>
          <w:lang w:val="lv-LV" w:eastAsia="de-AT"/>
        </w:rPr>
      </w:pPr>
      <w:r w:rsidRPr="00AA6642">
        <w:rPr>
          <w:rFonts w:eastAsia="Times New Roman"/>
          <w:lang w:val="lv-LV" w:eastAsia="de-AT"/>
        </w:rPr>
        <w:t>operatīvo mērķu noteik</w:t>
      </w:r>
      <w:r w:rsidR="00F33DAB" w:rsidRPr="00AA6642">
        <w:rPr>
          <w:rFonts w:eastAsia="Times New Roman"/>
          <w:lang w:val="lv-LV" w:eastAsia="de-AT"/>
        </w:rPr>
        <w:t>šanu</w:t>
      </w:r>
    </w:p>
    <w:p w:rsidR="0002431B" w:rsidRPr="00AA6642" w:rsidRDefault="00F33DAB" w:rsidP="00984EDB">
      <w:pPr>
        <w:pStyle w:val="ListParagraph"/>
        <w:numPr>
          <w:ilvl w:val="0"/>
          <w:numId w:val="22"/>
        </w:numPr>
        <w:rPr>
          <w:rFonts w:ascii="Times New Roman" w:eastAsia="Times New Roman" w:hAnsi="Times New Roman"/>
          <w:lang w:val="lv-LV" w:eastAsia="de-AT"/>
        </w:rPr>
      </w:pPr>
      <w:r w:rsidRPr="00AA6642">
        <w:rPr>
          <w:lang w:val="lv-LV"/>
        </w:rPr>
        <w:t>rādītājus</w:t>
      </w:r>
      <w:r w:rsidR="00A26252" w:rsidRPr="00AA6642">
        <w:rPr>
          <w:lang w:val="lv-LV"/>
        </w:rPr>
        <w:t xml:space="preserve"> strukturālo, procesa un rezultātu mērķu mērīšanai un</w:t>
      </w:r>
    </w:p>
    <w:p w:rsidR="0002431B" w:rsidRPr="00AA6642" w:rsidRDefault="00F33DAB" w:rsidP="00984EDB">
      <w:pPr>
        <w:pStyle w:val="ListParagraph"/>
        <w:numPr>
          <w:ilvl w:val="0"/>
          <w:numId w:val="22"/>
        </w:numPr>
        <w:rPr>
          <w:rFonts w:ascii="Times New Roman" w:eastAsia="Times New Roman" w:hAnsi="Times New Roman"/>
          <w:lang w:val="lv-LV" w:eastAsia="de-AT"/>
        </w:rPr>
      </w:pPr>
      <w:r w:rsidRPr="00AA6642">
        <w:rPr>
          <w:rStyle w:val="shorttext"/>
          <w:lang w:val="lv-LV"/>
        </w:rPr>
        <w:t>datu avotus, lai nodrošinātu mērījumu datus</w:t>
      </w:r>
    </w:p>
    <w:p w:rsidR="0002431B" w:rsidRPr="00AA6642" w:rsidRDefault="0002431B" w:rsidP="00721BF2">
      <w:pPr>
        <w:pStyle w:val="Heading2"/>
        <w:rPr>
          <w:lang w:val="lv-LV"/>
        </w:rPr>
      </w:pPr>
      <w:bookmarkStart w:id="63" w:name="_Toc443312629"/>
      <w:bookmarkStart w:id="64" w:name="_Toc444090600"/>
      <w:r w:rsidRPr="00AA6642">
        <w:rPr>
          <w:lang w:val="lv-LV"/>
        </w:rPr>
        <w:t>IV.</w:t>
      </w:r>
      <w:r w:rsidR="005254B0" w:rsidRPr="00AA6642">
        <w:rPr>
          <w:lang w:val="lv-LV"/>
        </w:rPr>
        <w:t>4.</w:t>
      </w:r>
      <w:r w:rsidRPr="00AA6642">
        <w:rPr>
          <w:lang w:val="lv-LV"/>
        </w:rPr>
        <w:t xml:space="preserve">5 </w:t>
      </w:r>
      <w:bookmarkEnd w:id="63"/>
      <w:bookmarkEnd w:id="64"/>
      <w:r w:rsidR="00F33DAB" w:rsidRPr="00AA6642">
        <w:rPr>
          <w:lang w:val="lv-LV"/>
        </w:rPr>
        <w:t xml:space="preserve">cilvēktiesību </w:t>
      </w:r>
      <w:r w:rsidR="00550DEC" w:rsidRPr="00AA6642">
        <w:rPr>
          <w:lang w:val="lv-LV"/>
        </w:rPr>
        <w:t xml:space="preserve">indikatori </w:t>
      </w:r>
    </w:p>
    <w:p w:rsidR="0002431B" w:rsidRPr="00AA6642" w:rsidRDefault="0002431B" w:rsidP="00936B86">
      <w:pPr>
        <w:rPr>
          <w:rFonts w:ascii="Times New Roman" w:eastAsia="Times New Roman" w:hAnsi="Times New Roman"/>
          <w:lang w:val="lv-LV" w:eastAsia="de-AT"/>
        </w:rPr>
      </w:pPr>
      <w:r w:rsidRPr="00AA6642">
        <w:rPr>
          <w:rFonts w:eastAsia="Times New Roman"/>
          <w:lang w:val="lv-LV" w:eastAsia="de-AT"/>
        </w:rPr>
        <w:t>“</w:t>
      </w:r>
      <w:r w:rsidR="00D9249D" w:rsidRPr="00AA6642">
        <w:rPr>
          <w:lang w:val="lv-LV"/>
        </w:rPr>
        <w:t xml:space="preserve"> Cilvēktiesību </w:t>
      </w:r>
      <w:r w:rsidR="00A56B65" w:rsidRPr="00AA6642">
        <w:rPr>
          <w:lang w:val="lv-LV"/>
        </w:rPr>
        <w:t>indikatori</w:t>
      </w:r>
      <w:r w:rsidR="00D9249D" w:rsidRPr="00AA6642">
        <w:rPr>
          <w:lang w:val="lv-LV"/>
        </w:rPr>
        <w:t xml:space="preserve"> ir rādītāji, ko izmanto, lai noteiktu, cik lielā mērā cilvēka tiesības tiek izpildītas vai īstenotas konkrētā kontekstā</w:t>
      </w:r>
      <w:r w:rsidRPr="00AA6642">
        <w:rPr>
          <w:rFonts w:eastAsia="Times New Roman"/>
          <w:lang w:val="lv-LV" w:eastAsia="de-AT"/>
        </w:rPr>
        <w:t>”</w:t>
      </w:r>
    </w:p>
    <w:p w:rsidR="0002431B" w:rsidRPr="00AA6642" w:rsidRDefault="0002431B" w:rsidP="00DD33D9">
      <w:pPr>
        <w:suppressAutoHyphens w:val="0"/>
        <w:rPr>
          <w:rFonts w:eastAsia="Times New Roman"/>
          <w:b/>
          <w:lang w:val="lv-LV" w:eastAsia="de-AT"/>
        </w:rPr>
      </w:pPr>
      <w:r w:rsidRPr="00AA6642">
        <w:rPr>
          <w:rFonts w:eastAsia="Times New Roman"/>
          <w:b/>
          <w:lang w:val="lv-LV" w:eastAsia="de-AT"/>
        </w:rPr>
        <w:t>Probl</w:t>
      </w:r>
      <w:r w:rsidR="00D9249D" w:rsidRPr="00AA6642">
        <w:rPr>
          <w:rFonts w:eastAsia="Times New Roman"/>
          <w:b/>
          <w:lang w:val="lv-LV" w:eastAsia="de-AT"/>
        </w:rPr>
        <w:t>ēmas</w:t>
      </w:r>
      <w:r w:rsidRPr="00AA6642">
        <w:rPr>
          <w:rFonts w:eastAsia="Times New Roman"/>
          <w:b/>
          <w:lang w:val="lv-LV" w:eastAsia="de-AT"/>
        </w:rPr>
        <w:t>:</w:t>
      </w:r>
    </w:p>
    <w:p w:rsidR="0002431B" w:rsidRPr="00AA6642" w:rsidRDefault="00D9249D" w:rsidP="00984EDB">
      <w:pPr>
        <w:pStyle w:val="ListParagraph"/>
        <w:numPr>
          <w:ilvl w:val="0"/>
          <w:numId w:val="23"/>
        </w:numPr>
        <w:rPr>
          <w:rFonts w:ascii="Times New Roman" w:eastAsia="Times New Roman" w:hAnsi="Times New Roman"/>
          <w:lang w:val="lv-LV" w:eastAsia="de-AT"/>
        </w:rPr>
      </w:pPr>
      <w:r w:rsidRPr="00AA6642">
        <w:rPr>
          <w:lang w:val="lv-LV"/>
        </w:rPr>
        <w:t>Lielākā daļa datu par invaliditāti tiek apkopoti fokusējoties uz personas traucējumiem vai veselības stāvokli</w:t>
      </w:r>
    </w:p>
    <w:p w:rsidR="0002431B" w:rsidRPr="00AA6642" w:rsidRDefault="0002431B" w:rsidP="00984EDB">
      <w:pPr>
        <w:pStyle w:val="ListParagraph"/>
        <w:numPr>
          <w:ilvl w:val="0"/>
          <w:numId w:val="23"/>
        </w:numPr>
        <w:rPr>
          <w:rFonts w:ascii="Times New Roman" w:eastAsia="Times New Roman" w:hAnsi="Times New Roman"/>
          <w:lang w:val="lv-LV" w:eastAsia="de-AT"/>
        </w:rPr>
      </w:pPr>
      <w:r w:rsidRPr="00AA6642">
        <w:rPr>
          <w:rFonts w:eastAsia="Times New Roman"/>
          <w:lang w:val="lv-LV" w:eastAsia="de-AT"/>
        </w:rPr>
        <w:t xml:space="preserve"> </w:t>
      </w:r>
      <w:r w:rsidR="00D9249D" w:rsidRPr="00AA6642">
        <w:rPr>
          <w:lang w:val="lv-LV"/>
        </w:rPr>
        <w:t>ar invaliditātes sociālo modeli dati par traucēj</w:t>
      </w:r>
      <w:r w:rsidR="00967C6C" w:rsidRPr="00AA6642">
        <w:rPr>
          <w:lang w:val="lv-LV"/>
        </w:rPr>
        <w:t>umiem un veselības stāvokli ne</w:t>
      </w:r>
      <w:r w:rsidR="00D9249D" w:rsidRPr="00AA6642">
        <w:rPr>
          <w:lang w:val="lv-LV"/>
        </w:rPr>
        <w:t>atbild uz jautājumu par individuālām ar invaliditāti saistītām un atbalsta vajadzībām</w:t>
      </w:r>
    </w:p>
    <w:p w:rsidR="0002431B" w:rsidRPr="00AA6642" w:rsidRDefault="0002431B" w:rsidP="00984EDB">
      <w:pPr>
        <w:pStyle w:val="ListParagraph"/>
        <w:numPr>
          <w:ilvl w:val="0"/>
          <w:numId w:val="23"/>
        </w:numPr>
        <w:rPr>
          <w:rFonts w:ascii="Times New Roman" w:eastAsia="Times New Roman" w:hAnsi="Times New Roman"/>
          <w:lang w:val="lv-LV" w:eastAsia="de-AT"/>
        </w:rPr>
      </w:pPr>
      <w:r w:rsidRPr="00AA6642">
        <w:rPr>
          <w:rFonts w:eastAsia="Times New Roman"/>
          <w:lang w:val="lv-LV" w:eastAsia="de-AT"/>
        </w:rPr>
        <w:t xml:space="preserve"> </w:t>
      </w:r>
      <w:r w:rsidR="00D9249D" w:rsidRPr="00AA6642">
        <w:rPr>
          <w:rStyle w:val="shorttext"/>
          <w:lang w:val="lv-LV"/>
        </w:rPr>
        <w:t>dati nav salīdzināmi starp Eiropas valstīm</w:t>
      </w:r>
    </w:p>
    <w:p w:rsidR="0002431B" w:rsidRPr="00AA6642" w:rsidRDefault="00D9249D" w:rsidP="005254B0">
      <w:pPr>
        <w:spacing w:after="0"/>
        <w:rPr>
          <w:b/>
          <w:lang w:val="lv-LV"/>
        </w:rPr>
      </w:pPr>
      <w:r w:rsidRPr="00AA6642">
        <w:rPr>
          <w:b/>
          <w:lang w:val="lv-LV"/>
        </w:rPr>
        <w:t>Tiesības, kuras aptver ANO Konvencija</w:t>
      </w:r>
    </w:p>
    <w:p w:rsidR="0002431B" w:rsidRPr="00AA6642" w:rsidRDefault="0002431B" w:rsidP="00984EDB">
      <w:pPr>
        <w:pStyle w:val="ListParagraph"/>
        <w:numPr>
          <w:ilvl w:val="0"/>
          <w:numId w:val="36"/>
        </w:numPr>
        <w:rPr>
          <w:lang w:val="lv-LV"/>
        </w:rPr>
      </w:pPr>
      <w:r w:rsidRPr="00AA6642">
        <w:rPr>
          <w:lang w:val="lv-LV"/>
        </w:rPr>
        <w:t>9</w:t>
      </w:r>
      <w:r w:rsidR="00D9249D" w:rsidRPr="00AA6642">
        <w:rPr>
          <w:lang w:val="lv-LV"/>
        </w:rPr>
        <w:t>.pants</w:t>
      </w:r>
      <w:r w:rsidR="004A180A" w:rsidRPr="00AA6642">
        <w:rPr>
          <w:lang w:val="lv-LV"/>
        </w:rPr>
        <w:t xml:space="preserve">: </w:t>
      </w:r>
      <w:r w:rsidR="00D9249D" w:rsidRPr="00AA6642">
        <w:rPr>
          <w:b/>
          <w:lang w:val="lv-LV"/>
        </w:rPr>
        <w:t>Pieejamība</w:t>
      </w:r>
    </w:p>
    <w:p w:rsidR="0002431B" w:rsidRPr="00AA6642" w:rsidRDefault="0002431B" w:rsidP="00984EDB">
      <w:pPr>
        <w:pStyle w:val="ListParagraph"/>
        <w:numPr>
          <w:ilvl w:val="0"/>
          <w:numId w:val="36"/>
        </w:numPr>
        <w:rPr>
          <w:lang w:val="lv-LV"/>
        </w:rPr>
      </w:pPr>
      <w:r w:rsidRPr="00AA6642">
        <w:rPr>
          <w:lang w:val="lv-LV"/>
        </w:rPr>
        <w:t>11</w:t>
      </w:r>
      <w:r w:rsidR="00D9249D" w:rsidRPr="00AA6642">
        <w:rPr>
          <w:lang w:val="lv-LV"/>
        </w:rPr>
        <w:t>.pants</w:t>
      </w:r>
      <w:r w:rsidR="004A180A" w:rsidRPr="00AA6642">
        <w:rPr>
          <w:lang w:val="lv-LV"/>
        </w:rPr>
        <w:t xml:space="preserve">: </w:t>
      </w:r>
      <w:r w:rsidR="00D9249D" w:rsidRPr="00AA6642">
        <w:rPr>
          <w:lang w:val="lv-LV"/>
        </w:rPr>
        <w:t>Riska situācijas un ārkārtas humānās situācijas</w:t>
      </w:r>
    </w:p>
    <w:p w:rsidR="0002431B" w:rsidRPr="00AA6642" w:rsidRDefault="004A180A" w:rsidP="00984EDB">
      <w:pPr>
        <w:pStyle w:val="ListParagraph"/>
        <w:numPr>
          <w:ilvl w:val="0"/>
          <w:numId w:val="36"/>
        </w:numPr>
        <w:rPr>
          <w:lang w:val="lv-LV"/>
        </w:rPr>
      </w:pPr>
      <w:r w:rsidRPr="00AA6642">
        <w:rPr>
          <w:lang w:val="lv-LV"/>
        </w:rPr>
        <w:t>12</w:t>
      </w:r>
      <w:r w:rsidR="00D9249D" w:rsidRPr="00AA6642">
        <w:rPr>
          <w:lang w:val="lv-LV"/>
        </w:rPr>
        <w:t>.pants</w:t>
      </w:r>
      <w:r w:rsidRPr="00AA6642">
        <w:rPr>
          <w:lang w:val="lv-LV"/>
        </w:rPr>
        <w:t xml:space="preserve">: </w:t>
      </w:r>
      <w:r w:rsidR="00D9249D" w:rsidRPr="00AA6642">
        <w:rPr>
          <w:lang w:val="lv-LV"/>
        </w:rPr>
        <w:t>Vienlīdzīga tiesībspējas atzīšana</w:t>
      </w:r>
    </w:p>
    <w:p w:rsidR="0002431B" w:rsidRPr="00AA6642" w:rsidRDefault="0002431B" w:rsidP="00984EDB">
      <w:pPr>
        <w:pStyle w:val="ListParagraph"/>
        <w:numPr>
          <w:ilvl w:val="0"/>
          <w:numId w:val="36"/>
        </w:numPr>
        <w:rPr>
          <w:lang w:val="lv-LV"/>
        </w:rPr>
      </w:pPr>
      <w:r w:rsidRPr="00AA6642">
        <w:rPr>
          <w:lang w:val="lv-LV"/>
        </w:rPr>
        <w:t>13</w:t>
      </w:r>
      <w:r w:rsidR="00D9249D" w:rsidRPr="00AA6642">
        <w:rPr>
          <w:lang w:val="lv-LV"/>
        </w:rPr>
        <w:t>.pants</w:t>
      </w:r>
      <w:r w:rsidR="004A180A" w:rsidRPr="00AA6642">
        <w:rPr>
          <w:lang w:val="lv-LV"/>
        </w:rPr>
        <w:t>:</w:t>
      </w:r>
      <w:r w:rsidRPr="00AA6642">
        <w:rPr>
          <w:lang w:val="lv-LV"/>
        </w:rPr>
        <w:t xml:space="preserve"> </w:t>
      </w:r>
      <w:r w:rsidR="00D9249D" w:rsidRPr="00AA6642">
        <w:rPr>
          <w:b/>
          <w:lang w:val="lv-LV"/>
        </w:rPr>
        <w:t>Tiesas</w:t>
      </w:r>
      <w:r w:rsidR="00D9249D" w:rsidRPr="00AA6642">
        <w:rPr>
          <w:lang w:val="lv-LV"/>
        </w:rPr>
        <w:t xml:space="preserve"> pieejamība</w:t>
      </w:r>
    </w:p>
    <w:p w:rsidR="0002431B" w:rsidRPr="00AA6642" w:rsidRDefault="004A180A" w:rsidP="00984EDB">
      <w:pPr>
        <w:pStyle w:val="ListParagraph"/>
        <w:numPr>
          <w:ilvl w:val="0"/>
          <w:numId w:val="36"/>
        </w:numPr>
        <w:rPr>
          <w:lang w:val="lv-LV"/>
        </w:rPr>
      </w:pPr>
      <w:r w:rsidRPr="00AA6642">
        <w:rPr>
          <w:lang w:val="lv-LV"/>
        </w:rPr>
        <w:lastRenderedPageBreak/>
        <w:t>15</w:t>
      </w:r>
      <w:r w:rsidR="00D9249D" w:rsidRPr="00AA6642">
        <w:rPr>
          <w:lang w:val="lv-LV"/>
        </w:rPr>
        <w:t>.pants</w:t>
      </w:r>
      <w:r w:rsidRPr="00AA6642">
        <w:rPr>
          <w:lang w:val="lv-LV"/>
        </w:rPr>
        <w:t>:</w:t>
      </w:r>
      <w:r w:rsidR="0002431B" w:rsidRPr="00AA6642">
        <w:rPr>
          <w:lang w:val="lv-LV"/>
        </w:rPr>
        <w:t xml:space="preserve"> </w:t>
      </w:r>
      <w:r w:rsidR="00D9249D" w:rsidRPr="00AA6642">
        <w:rPr>
          <w:lang w:val="lv-LV"/>
        </w:rPr>
        <w:t>Tiesības netikt pakļautam spīdzināšanai vai nežēlīgiem, necilvēcīgiem vai cieņu pazemojošiem apiešanās un sodīšanas veidiem</w:t>
      </w:r>
    </w:p>
    <w:p w:rsidR="0002431B" w:rsidRPr="00AA6642" w:rsidRDefault="004A180A" w:rsidP="00984EDB">
      <w:pPr>
        <w:pStyle w:val="ListParagraph"/>
        <w:numPr>
          <w:ilvl w:val="0"/>
          <w:numId w:val="36"/>
        </w:numPr>
        <w:rPr>
          <w:lang w:val="lv-LV"/>
        </w:rPr>
      </w:pPr>
      <w:r w:rsidRPr="00AA6642">
        <w:rPr>
          <w:lang w:val="lv-LV"/>
        </w:rPr>
        <w:t>16</w:t>
      </w:r>
      <w:r w:rsidR="00D9249D" w:rsidRPr="00AA6642">
        <w:rPr>
          <w:lang w:val="lv-LV"/>
        </w:rPr>
        <w:t>.pants</w:t>
      </w:r>
      <w:r w:rsidRPr="00AA6642">
        <w:rPr>
          <w:lang w:val="lv-LV"/>
        </w:rPr>
        <w:t>:</w:t>
      </w:r>
      <w:r w:rsidR="0002431B" w:rsidRPr="00AA6642">
        <w:rPr>
          <w:lang w:val="lv-LV"/>
        </w:rPr>
        <w:t xml:space="preserve"> </w:t>
      </w:r>
      <w:r w:rsidR="00D9249D" w:rsidRPr="00AA6642">
        <w:rPr>
          <w:lang w:val="lv-LV"/>
        </w:rPr>
        <w:t>Tiesības netikt pakļautam ekspluatācijai, vardarbībai un ļaunprātīgai izmantošanai</w:t>
      </w:r>
    </w:p>
    <w:p w:rsidR="0002431B" w:rsidRPr="00AA6642" w:rsidRDefault="004A180A" w:rsidP="00984EDB">
      <w:pPr>
        <w:pStyle w:val="ListParagraph"/>
        <w:numPr>
          <w:ilvl w:val="0"/>
          <w:numId w:val="36"/>
        </w:numPr>
        <w:rPr>
          <w:lang w:val="lv-LV"/>
        </w:rPr>
      </w:pPr>
      <w:r w:rsidRPr="00AA6642">
        <w:rPr>
          <w:lang w:val="lv-LV"/>
        </w:rPr>
        <w:t>17</w:t>
      </w:r>
      <w:r w:rsidR="00D9249D" w:rsidRPr="00AA6642">
        <w:rPr>
          <w:lang w:val="lv-LV"/>
        </w:rPr>
        <w:t>.pants</w:t>
      </w:r>
      <w:r w:rsidRPr="00AA6642">
        <w:rPr>
          <w:lang w:val="lv-LV"/>
        </w:rPr>
        <w:t>:</w:t>
      </w:r>
      <w:r w:rsidR="0002431B" w:rsidRPr="00AA6642">
        <w:rPr>
          <w:lang w:val="lv-LV"/>
        </w:rPr>
        <w:t xml:space="preserve"> </w:t>
      </w:r>
      <w:r w:rsidR="00D9249D" w:rsidRPr="00AA6642">
        <w:rPr>
          <w:lang w:val="lv-LV"/>
        </w:rPr>
        <w:t xml:space="preserve">Personas </w:t>
      </w:r>
      <w:r w:rsidR="00D9249D" w:rsidRPr="00AA6642">
        <w:rPr>
          <w:b/>
          <w:lang w:val="lv-LV"/>
        </w:rPr>
        <w:t>integritātes aizsardzība</w:t>
      </w:r>
    </w:p>
    <w:p w:rsidR="0002431B" w:rsidRPr="00AA6642" w:rsidRDefault="004A180A" w:rsidP="00984EDB">
      <w:pPr>
        <w:pStyle w:val="ListParagraph"/>
        <w:numPr>
          <w:ilvl w:val="0"/>
          <w:numId w:val="36"/>
        </w:numPr>
        <w:rPr>
          <w:lang w:val="lv-LV"/>
        </w:rPr>
      </w:pPr>
      <w:r w:rsidRPr="00AA6642">
        <w:rPr>
          <w:lang w:val="lv-LV"/>
        </w:rPr>
        <w:t>18</w:t>
      </w:r>
      <w:r w:rsidR="00D9249D" w:rsidRPr="00AA6642">
        <w:rPr>
          <w:lang w:val="lv-LV"/>
        </w:rPr>
        <w:t>.pants</w:t>
      </w:r>
      <w:r w:rsidRPr="00AA6642">
        <w:rPr>
          <w:lang w:val="lv-LV"/>
        </w:rPr>
        <w:t>:</w:t>
      </w:r>
      <w:r w:rsidR="0002431B" w:rsidRPr="00AA6642">
        <w:rPr>
          <w:lang w:val="lv-LV"/>
        </w:rPr>
        <w:t xml:space="preserve"> </w:t>
      </w:r>
      <w:r w:rsidR="00D9249D" w:rsidRPr="00AA6642">
        <w:rPr>
          <w:lang w:val="lv-LV"/>
        </w:rPr>
        <w:t>Pārvietošanās un pilsonības brīvība</w:t>
      </w:r>
    </w:p>
    <w:p w:rsidR="0002431B" w:rsidRPr="00AA6642" w:rsidRDefault="004A180A" w:rsidP="00984EDB">
      <w:pPr>
        <w:pStyle w:val="ListParagraph"/>
        <w:numPr>
          <w:ilvl w:val="0"/>
          <w:numId w:val="36"/>
        </w:numPr>
        <w:rPr>
          <w:lang w:val="lv-LV"/>
        </w:rPr>
      </w:pPr>
      <w:r w:rsidRPr="00AA6642">
        <w:rPr>
          <w:lang w:val="lv-LV"/>
        </w:rPr>
        <w:t>19</w:t>
      </w:r>
      <w:r w:rsidR="00D9249D" w:rsidRPr="00AA6642">
        <w:rPr>
          <w:lang w:val="lv-LV"/>
        </w:rPr>
        <w:t>.pants</w:t>
      </w:r>
      <w:r w:rsidRPr="00AA6642">
        <w:rPr>
          <w:lang w:val="lv-LV"/>
        </w:rPr>
        <w:t>:</w:t>
      </w:r>
      <w:r w:rsidR="0002431B" w:rsidRPr="00AA6642">
        <w:rPr>
          <w:lang w:val="lv-LV"/>
        </w:rPr>
        <w:t xml:space="preserve"> </w:t>
      </w:r>
      <w:r w:rsidR="00C761B2" w:rsidRPr="00AA6642">
        <w:rPr>
          <w:b/>
          <w:lang w:val="lv-LV"/>
        </w:rPr>
        <w:t>Patstāvīgs dzīvesveids</w:t>
      </w:r>
      <w:r w:rsidR="00C761B2" w:rsidRPr="00AA6642">
        <w:rPr>
          <w:lang w:val="lv-LV"/>
        </w:rPr>
        <w:t xml:space="preserve"> un iekļaušana sabiedrībā</w:t>
      </w:r>
    </w:p>
    <w:p w:rsidR="0002431B" w:rsidRPr="00AA6642" w:rsidRDefault="004A180A" w:rsidP="00984EDB">
      <w:pPr>
        <w:pStyle w:val="ListParagraph"/>
        <w:numPr>
          <w:ilvl w:val="0"/>
          <w:numId w:val="36"/>
        </w:numPr>
        <w:rPr>
          <w:lang w:val="lv-LV"/>
        </w:rPr>
      </w:pPr>
      <w:r w:rsidRPr="00AA6642">
        <w:rPr>
          <w:lang w:val="lv-LV"/>
        </w:rPr>
        <w:t>20</w:t>
      </w:r>
      <w:r w:rsidR="00D9249D" w:rsidRPr="00AA6642">
        <w:rPr>
          <w:lang w:val="lv-LV"/>
        </w:rPr>
        <w:t>.pants</w:t>
      </w:r>
      <w:r w:rsidRPr="00AA6642">
        <w:rPr>
          <w:lang w:val="lv-LV"/>
        </w:rPr>
        <w:t>:</w:t>
      </w:r>
      <w:r w:rsidR="0002431B" w:rsidRPr="00AA6642">
        <w:rPr>
          <w:lang w:val="lv-LV"/>
        </w:rPr>
        <w:t xml:space="preserve"> </w:t>
      </w:r>
      <w:r w:rsidR="00C761B2" w:rsidRPr="00AA6642">
        <w:rPr>
          <w:lang w:val="lv-LV"/>
        </w:rPr>
        <w:t xml:space="preserve">Individuālā </w:t>
      </w:r>
      <w:r w:rsidR="00C761B2" w:rsidRPr="00AA6642">
        <w:rPr>
          <w:b/>
          <w:lang w:val="lv-LV"/>
        </w:rPr>
        <w:t>pārvietošanās</w:t>
      </w:r>
    </w:p>
    <w:p w:rsidR="0002431B" w:rsidRPr="00AA6642" w:rsidRDefault="004A180A" w:rsidP="00984EDB">
      <w:pPr>
        <w:pStyle w:val="ListParagraph"/>
        <w:numPr>
          <w:ilvl w:val="0"/>
          <w:numId w:val="36"/>
        </w:numPr>
        <w:rPr>
          <w:lang w:val="lv-LV"/>
        </w:rPr>
      </w:pPr>
      <w:r w:rsidRPr="00AA6642">
        <w:rPr>
          <w:lang w:val="lv-LV"/>
        </w:rPr>
        <w:t>21</w:t>
      </w:r>
      <w:r w:rsidR="00D9249D" w:rsidRPr="00AA6642">
        <w:rPr>
          <w:lang w:val="lv-LV"/>
        </w:rPr>
        <w:t>.pants</w:t>
      </w:r>
      <w:r w:rsidRPr="00AA6642">
        <w:rPr>
          <w:lang w:val="lv-LV"/>
        </w:rPr>
        <w:t>:</w:t>
      </w:r>
      <w:r w:rsidR="0002431B" w:rsidRPr="00AA6642">
        <w:rPr>
          <w:lang w:val="lv-LV"/>
        </w:rPr>
        <w:t xml:space="preserve"> </w:t>
      </w:r>
      <w:r w:rsidR="00C761B2" w:rsidRPr="00AA6642">
        <w:rPr>
          <w:lang w:val="lv-LV"/>
        </w:rPr>
        <w:t>Vārda un uzskatu brīvība un pieeja informācijai</w:t>
      </w:r>
    </w:p>
    <w:p w:rsidR="0002431B" w:rsidRPr="00AA6642" w:rsidRDefault="004A180A" w:rsidP="00984EDB">
      <w:pPr>
        <w:pStyle w:val="ListParagraph"/>
        <w:numPr>
          <w:ilvl w:val="0"/>
          <w:numId w:val="36"/>
        </w:numPr>
        <w:rPr>
          <w:lang w:val="lv-LV"/>
        </w:rPr>
      </w:pPr>
      <w:r w:rsidRPr="00AA6642">
        <w:rPr>
          <w:lang w:val="lv-LV"/>
        </w:rPr>
        <w:t>22</w:t>
      </w:r>
      <w:r w:rsidR="00D9249D" w:rsidRPr="00AA6642">
        <w:rPr>
          <w:lang w:val="lv-LV"/>
        </w:rPr>
        <w:t>.pants</w:t>
      </w:r>
      <w:r w:rsidRPr="00AA6642">
        <w:rPr>
          <w:lang w:val="lv-LV"/>
        </w:rPr>
        <w:t>:</w:t>
      </w:r>
      <w:r w:rsidR="0002431B" w:rsidRPr="00AA6642">
        <w:rPr>
          <w:lang w:val="lv-LV"/>
        </w:rPr>
        <w:t xml:space="preserve"> </w:t>
      </w:r>
      <w:r w:rsidR="00C761B2" w:rsidRPr="00AA6642">
        <w:rPr>
          <w:lang w:val="lv-LV"/>
        </w:rPr>
        <w:t>Privātās dzīves neaizskaramība</w:t>
      </w:r>
    </w:p>
    <w:p w:rsidR="0002431B" w:rsidRPr="00AA6642" w:rsidRDefault="004A180A" w:rsidP="00984EDB">
      <w:pPr>
        <w:pStyle w:val="ListParagraph"/>
        <w:numPr>
          <w:ilvl w:val="0"/>
          <w:numId w:val="36"/>
        </w:numPr>
        <w:rPr>
          <w:lang w:val="lv-LV"/>
        </w:rPr>
      </w:pPr>
      <w:r w:rsidRPr="00AA6642">
        <w:rPr>
          <w:lang w:val="lv-LV"/>
        </w:rPr>
        <w:t>23</w:t>
      </w:r>
      <w:r w:rsidR="00D9249D" w:rsidRPr="00AA6642">
        <w:rPr>
          <w:lang w:val="lv-LV"/>
        </w:rPr>
        <w:t>.pants</w:t>
      </w:r>
      <w:r w:rsidRPr="00AA6642">
        <w:rPr>
          <w:lang w:val="lv-LV"/>
        </w:rPr>
        <w:t>:</w:t>
      </w:r>
      <w:r w:rsidR="0002431B" w:rsidRPr="00AA6642">
        <w:rPr>
          <w:lang w:val="lv-LV"/>
        </w:rPr>
        <w:t xml:space="preserve"> </w:t>
      </w:r>
      <w:r w:rsidR="00C761B2" w:rsidRPr="00AA6642">
        <w:rPr>
          <w:lang w:val="lv-LV"/>
        </w:rPr>
        <w:t>Cieņa pret dzīvesvietu un ģimeni</w:t>
      </w:r>
    </w:p>
    <w:p w:rsidR="0002431B" w:rsidRPr="00AA6642" w:rsidRDefault="004A180A" w:rsidP="00984EDB">
      <w:pPr>
        <w:pStyle w:val="ListParagraph"/>
        <w:numPr>
          <w:ilvl w:val="0"/>
          <w:numId w:val="36"/>
        </w:numPr>
        <w:rPr>
          <w:lang w:val="lv-LV"/>
        </w:rPr>
      </w:pPr>
      <w:r w:rsidRPr="00AA6642">
        <w:rPr>
          <w:lang w:val="lv-LV"/>
        </w:rPr>
        <w:t>24</w:t>
      </w:r>
      <w:r w:rsidR="00D9249D" w:rsidRPr="00AA6642">
        <w:rPr>
          <w:lang w:val="lv-LV"/>
        </w:rPr>
        <w:t>.pants</w:t>
      </w:r>
      <w:r w:rsidRPr="00AA6642">
        <w:rPr>
          <w:lang w:val="lv-LV"/>
        </w:rPr>
        <w:t>:</w:t>
      </w:r>
      <w:r w:rsidR="00C761B2" w:rsidRPr="00AA6642">
        <w:rPr>
          <w:lang w:val="lv-LV"/>
        </w:rPr>
        <w:t xml:space="preserve"> Izglītība</w:t>
      </w:r>
    </w:p>
    <w:p w:rsidR="0002431B" w:rsidRPr="00AA6642" w:rsidRDefault="004A180A" w:rsidP="00984EDB">
      <w:pPr>
        <w:pStyle w:val="ListParagraph"/>
        <w:numPr>
          <w:ilvl w:val="0"/>
          <w:numId w:val="36"/>
        </w:numPr>
        <w:rPr>
          <w:lang w:val="lv-LV"/>
        </w:rPr>
      </w:pPr>
      <w:r w:rsidRPr="00AA6642">
        <w:rPr>
          <w:lang w:val="lv-LV"/>
        </w:rPr>
        <w:t>25</w:t>
      </w:r>
      <w:r w:rsidR="00D9249D" w:rsidRPr="00AA6642">
        <w:rPr>
          <w:lang w:val="lv-LV"/>
        </w:rPr>
        <w:t>.pants</w:t>
      </w:r>
      <w:r w:rsidRPr="00AA6642">
        <w:rPr>
          <w:lang w:val="lv-LV"/>
        </w:rPr>
        <w:t>:</w:t>
      </w:r>
      <w:r w:rsidR="0002431B" w:rsidRPr="00AA6642">
        <w:rPr>
          <w:lang w:val="lv-LV"/>
        </w:rPr>
        <w:t xml:space="preserve"> </w:t>
      </w:r>
      <w:r w:rsidR="00C761B2" w:rsidRPr="00AA6642">
        <w:rPr>
          <w:lang w:val="lv-LV"/>
        </w:rPr>
        <w:t>Veselība</w:t>
      </w:r>
    </w:p>
    <w:p w:rsidR="0002431B" w:rsidRPr="00AA6642" w:rsidRDefault="004A180A" w:rsidP="00984EDB">
      <w:pPr>
        <w:pStyle w:val="ListParagraph"/>
        <w:numPr>
          <w:ilvl w:val="0"/>
          <w:numId w:val="36"/>
        </w:numPr>
        <w:rPr>
          <w:lang w:val="lv-LV"/>
        </w:rPr>
      </w:pPr>
      <w:r w:rsidRPr="00AA6642">
        <w:rPr>
          <w:lang w:val="lv-LV"/>
        </w:rPr>
        <w:t>26</w:t>
      </w:r>
      <w:r w:rsidR="00D9249D" w:rsidRPr="00AA6642">
        <w:rPr>
          <w:lang w:val="lv-LV"/>
        </w:rPr>
        <w:t>.pants</w:t>
      </w:r>
      <w:r w:rsidRPr="00AA6642">
        <w:rPr>
          <w:lang w:val="lv-LV"/>
        </w:rPr>
        <w:t>:</w:t>
      </w:r>
      <w:r w:rsidR="0002431B" w:rsidRPr="00AA6642">
        <w:rPr>
          <w:lang w:val="lv-LV"/>
        </w:rPr>
        <w:t xml:space="preserve"> </w:t>
      </w:r>
      <w:r w:rsidR="00C761B2" w:rsidRPr="00AA6642">
        <w:rPr>
          <w:lang w:val="lv-LV"/>
        </w:rPr>
        <w:t>Adaptācija un rehabilitācija</w:t>
      </w:r>
    </w:p>
    <w:p w:rsidR="0002431B" w:rsidRPr="00AA6642" w:rsidRDefault="004A180A" w:rsidP="00984EDB">
      <w:pPr>
        <w:pStyle w:val="ListParagraph"/>
        <w:numPr>
          <w:ilvl w:val="0"/>
          <w:numId w:val="36"/>
        </w:numPr>
        <w:rPr>
          <w:lang w:val="lv-LV"/>
        </w:rPr>
      </w:pPr>
      <w:r w:rsidRPr="00AA6642">
        <w:rPr>
          <w:lang w:val="lv-LV"/>
        </w:rPr>
        <w:t>27</w:t>
      </w:r>
      <w:r w:rsidR="00D9249D" w:rsidRPr="00AA6642">
        <w:rPr>
          <w:lang w:val="lv-LV"/>
        </w:rPr>
        <w:t>.pants</w:t>
      </w:r>
      <w:r w:rsidRPr="00AA6642">
        <w:rPr>
          <w:lang w:val="lv-LV"/>
        </w:rPr>
        <w:t>:</w:t>
      </w:r>
      <w:r w:rsidR="0002431B" w:rsidRPr="00AA6642">
        <w:rPr>
          <w:lang w:val="lv-LV"/>
        </w:rPr>
        <w:t xml:space="preserve"> </w:t>
      </w:r>
      <w:r w:rsidR="00C761B2" w:rsidRPr="00AA6642">
        <w:rPr>
          <w:lang w:val="lv-LV"/>
        </w:rPr>
        <w:t>Darbs un nodarbinātība</w:t>
      </w:r>
    </w:p>
    <w:p w:rsidR="0002431B" w:rsidRPr="00AA6642" w:rsidRDefault="004A180A" w:rsidP="00984EDB">
      <w:pPr>
        <w:pStyle w:val="ListParagraph"/>
        <w:numPr>
          <w:ilvl w:val="0"/>
          <w:numId w:val="36"/>
        </w:numPr>
        <w:rPr>
          <w:lang w:val="lv-LV"/>
        </w:rPr>
      </w:pPr>
      <w:r w:rsidRPr="00AA6642">
        <w:rPr>
          <w:lang w:val="lv-LV"/>
        </w:rPr>
        <w:t>28</w:t>
      </w:r>
      <w:r w:rsidR="00D9249D" w:rsidRPr="00AA6642">
        <w:rPr>
          <w:lang w:val="lv-LV"/>
        </w:rPr>
        <w:t>.pants</w:t>
      </w:r>
      <w:r w:rsidRPr="00AA6642">
        <w:rPr>
          <w:lang w:val="lv-LV"/>
        </w:rPr>
        <w:t>:</w:t>
      </w:r>
      <w:r w:rsidR="0002431B" w:rsidRPr="00AA6642">
        <w:rPr>
          <w:lang w:val="lv-LV"/>
        </w:rPr>
        <w:t xml:space="preserve"> </w:t>
      </w:r>
      <w:r w:rsidR="00C761B2" w:rsidRPr="00AA6642">
        <w:rPr>
          <w:lang w:val="lv-LV"/>
        </w:rPr>
        <w:t>Pienācīgs dzīves līmenis un sociālā aizsardzība</w:t>
      </w:r>
    </w:p>
    <w:p w:rsidR="0002431B" w:rsidRPr="00AA6642" w:rsidRDefault="004A180A" w:rsidP="00984EDB">
      <w:pPr>
        <w:pStyle w:val="ListParagraph"/>
        <w:numPr>
          <w:ilvl w:val="0"/>
          <w:numId w:val="36"/>
        </w:numPr>
        <w:rPr>
          <w:lang w:val="lv-LV"/>
        </w:rPr>
      </w:pPr>
      <w:r w:rsidRPr="00AA6642">
        <w:rPr>
          <w:lang w:val="lv-LV"/>
        </w:rPr>
        <w:t>29</w:t>
      </w:r>
      <w:r w:rsidR="00D9249D" w:rsidRPr="00AA6642">
        <w:rPr>
          <w:lang w:val="lv-LV"/>
        </w:rPr>
        <w:t>.pants</w:t>
      </w:r>
      <w:r w:rsidRPr="00AA6642">
        <w:rPr>
          <w:lang w:val="lv-LV"/>
        </w:rPr>
        <w:t>:</w:t>
      </w:r>
      <w:r w:rsidR="0002431B" w:rsidRPr="00AA6642">
        <w:rPr>
          <w:lang w:val="lv-LV"/>
        </w:rPr>
        <w:t xml:space="preserve"> </w:t>
      </w:r>
      <w:r w:rsidR="00C761B2" w:rsidRPr="00AA6642">
        <w:rPr>
          <w:lang w:val="lv-LV"/>
        </w:rPr>
        <w:t>Līdzdalība politiskajā un sabiedriskajā dzīvē</w:t>
      </w:r>
    </w:p>
    <w:p w:rsidR="0002431B" w:rsidRPr="00AA6642" w:rsidRDefault="004A180A" w:rsidP="00984EDB">
      <w:pPr>
        <w:pStyle w:val="ListParagraph"/>
        <w:numPr>
          <w:ilvl w:val="0"/>
          <w:numId w:val="36"/>
        </w:numPr>
        <w:rPr>
          <w:lang w:val="lv-LV"/>
        </w:rPr>
      </w:pPr>
      <w:r w:rsidRPr="00AA6642">
        <w:rPr>
          <w:lang w:val="lv-LV"/>
        </w:rPr>
        <w:t>30</w:t>
      </w:r>
      <w:r w:rsidR="00D9249D" w:rsidRPr="00AA6642">
        <w:rPr>
          <w:lang w:val="lv-LV"/>
        </w:rPr>
        <w:t>.pants</w:t>
      </w:r>
      <w:r w:rsidRPr="00AA6642">
        <w:rPr>
          <w:lang w:val="lv-LV"/>
        </w:rPr>
        <w:t>:</w:t>
      </w:r>
      <w:r w:rsidR="0002431B" w:rsidRPr="00AA6642">
        <w:rPr>
          <w:lang w:val="lv-LV"/>
        </w:rPr>
        <w:t xml:space="preserve"> </w:t>
      </w:r>
      <w:r w:rsidR="00C761B2" w:rsidRPr="00AA6642">
        <w:rPr>
          <w:lang w:val="lv-LV"/>
        </w:rPr>
        <w:t>Līdzdalība kultūras dzīvē, atpūta, brīvā laika pavadīšana un sports</w:t>
      </w:r>
    </w:p>
    <w:p w:rsidR="0002431B" w:rsidRPr="00AA6642" w:rsidRDefault="00C761B2" w:rsidP="00A6374C">
      <w:pPr>
        <w:spacing w:after="0"/>
        <w:rPr>
          <w:rFonts w:eastAsia="Times New Roman"/>
          <w:lang w:val="lv-LV" w:eastAsia="de-AT"/>
        </w:rPr>
      </w:pPr>
      <w:r w:rsidRPr="00AA6642">
        <w:rPr>
          <w:rFonts w:eastAsia="Times New Roman"/>
          <w:lang w:val="lv-LV" w:eastAsia="de-AT"/>
        </w:rPr>
        <w:t xml:space="preserve">Ir īpaši izaicinājumi saistībā ar cilvēktiesību </w:t>
      </w:r>
      <w:r w:rsidR="00A56B65" w:rsidRPr="00AA6642">
        <w:rPr>
          <w:rFonts w:eastAsia="Times New Roman"/>
          <w:lang w:val="lv-LV" w:eastAsia="de-AT"/>
        </w:rPr>
        <w:t>indikatoriem</w:t>
      </w:r>
      <w:r w:rsidR="0002431B" w:rsidRPr="00AA6642">
        <w:rPr>
          <w:rFonts w:eastAsia="Times New Roman"/>
          <w:lang w:val="lv-LV" w:eastAsia="de-AT"/>
        </w:rPr>
        <w:t xml:space="preserve">: </w:t>
      </w:r>
    </w:p>
    <w:p w:rsidR="00C761B2" w:rsidRPr="00AA6642" w:rsidRDefault="00C761B2" w:rsidP="00A6374C">
      <w:pPr>
        <w:spacing w:after="0"/>
        <w:rPr>
          <w:rFonts w:ascii="Times New Roman" w:eastAsia="Times New Roman" w:hAnsi="Times New Roman"/>
          <w:lang w:val="lv-LV" w:eastAsia="de-AT"/>
        </w:rPr>
      </w:pPr>
    </w:p>
    <w:p w:rsidR="0002431B" w:rsidRPr="00AA6642" w:rsidRDefault="00C761B2" w:rsidP="00984EDB">
      <w:pPr>
        <w:pStyle w:val="ListParagraph"/>
        <w:numPr>
          <w:ilvl w:val="0"/>
          <w:numId w:val="24"/>
        </w:numPr>
        <w:rPr>
          <w:rFonts w:ascii="Times New Roman" w:eastAsia="Times New Roman" w:hAnsi="Times New Roman"/>
          <w:lang w:val="lv-LV" w:eastAsia="de-AT"/>
        </w:rPr>
      </w:pPr>
      <w:r w:rsidRPr="00AA6642">
        <w:rPr>
          <w:rFonts w:eastAsia="Times New Roman"/>
          <w:lang w:val="lv-LV" w:eastAsia="de-AT"/>
        </w:rPr>
        <w:t>Mums ir nepieciešami kvalitatīvi indikatori, piemēram, lai mērītu „cieņas”</w:t>
      </w:r>
      <w:r w:rsidR="00967C6C" w:rsidRPr="00AA6642">
        <w:rPr>
          <w:rFonts w:eastAsia="Times New Roman"/>
          <w:lang w:val="lv-LV" w:eastAsia="de-AT"/>
        </w:rPr>
        <w:t xml:space="preserve"> </w:t>
      </w:r>
      <w:r w:rsidRPr="00AA6642">
        <w:rPr>
          <w:rFonts w:eastAsia="Times New Roman"/>
          <w:lang w:val="lv-LV" w:eastAsia="de-AT"/>
        </w:rPr>
        <w:t xml:space="preserve">lielo vērtību. </w:t>
      </w:r>
      <w:r w:rsidR="0002431B" w:rsidRPr="00AA6642">
        <w:rPr>
          <w:rFonts w:eastAsia="Times New Roman"/>
          <w:lang w:val="lv-LV" w:eastAsia="de-AT"/>
        </w:rPr>
        <w:t xml:space="preserve"> </w:t>
      </w:r>
    </w:p>
    <w:p w:rsidR="0002431B" w:rsidRPr="00AA6642" w:rsidRDefault="0002431B" w:rsidP="005254B0">
      <w:pPr>
        <w:spacing w:after="0"/>
        <w:rPr>
          <w:rFonts w:eastAsia="Times New Roman"/>
          <w:lang w:val="lv-LV" w:eastAsia="de-AT"/>
        </w:rPr>
      </w:pPr>
      <w:r w:rsidRPr="00AA6642">
        <w:rPr>
          <w:rFonts w:eastAsia="Times New Roman"/>
          <w:lang w:val="lv-LV" w:eastAsia="de-AT"/>
        </w:rPr>
        <w:t>“</w:t>
      </w:r>
      <w:r w:rsidR="00C761B2" w:rsidRPr="00AA6642">
        <w:rPr>
          <w:rFonts w:eastAsia="Times New Roman"/>
          <w:lang w:val="lv-LV" w:eastAsia="de-AT"/>
        </w:rPr>
        <w:t xml:space="preserve">Kad jūs esat kopā ar citiem cilvēkiem, vai jūs </w:t>
      </w:r>
      <w:r w:rsidR="00967C6C" w:rsidRPr="00AA6642">
        <w:rPr>
          <w:rFonts w:eastAsia="Times New Roman"/>
          <w:lang w:val="lv-LV" w:eastAsia="de-AT"/>
        </w:rPr>
        <w:t>uzskatāt</w:t>
      </w:r>
      <w:r w:rsidR="00AA6642">
        <w:rPr>
          <w:rFonts w:eastAsia="Times New Roman"/>
          <w:lang w:val="lv-LV" w:eastAsia="de-AT"/>
        </w:rPr>
        <w:t xml:space="preserve">, </w:t>
      </w:r>
      <w:r w:rsidR="00C761B2" w:rsidRPr="00AA6642">
        <w:rPr>
          <w:rFonts w:eastAsia="Times New Roman"/>
          <w:lang w:val="lv-LV" w:eastAsia="de-AT"/>
        </w:rPr>
        <w:t>ka pret jums izturas ar cieņu</w:t>
      </w:r>
      <w:r w:rsidRPr="00AA6642">
        <w:rPr>
          <w:rFonts w:eastAsia="Times New Roman"/>
          <w:lang w:val="lv-LV" w:eastAsia="de-AT"/>
        </w:rPr>
        <w:t>?”</w:t>
      </w:r>
    </w:p>
    <w:p w:rsidR="00C761B2" w:rsidRPr="00AA6642" w:rsidRDefault="00C761B2" w:rsidP="005254B0">
      <w:pPr>
        <w:spacing w:after="0"/>
        <w:rPr>
          <w:rFonts w:ascii="Times New Roman" w:eastAsia="Times New Roman" w:hAnsi="Times New Roman"/>
          <w:lang w:val="lv-LV" w:eastAsia="de-AT"/>
        </w:rPr>
      </w:pPr>
    </w:p>
    <w:p w:rsidR="0002431B" w:rsidRPr="00AA6642" w:rsidRDefault="00147CA9" w:rsidP="00984EDB">
      <w:pPr>
        <w:pStyle w:val="ListParagraph"/>
        <w:numPr>
          <w:ilvl w:val="0"/>
          <w:numId w:val="24"/>
        </w:numPr>
        <w:rPr>
          <w:rFonts w:ascii="Times New Roman" w:eastAsia="Times New Roman" w:hAnsi="Times New Roman"/>
          <w:lang w:val="lv-LV" w:eastAsia="de-AT"/>
        </w:rPr>
      </w:pPr>
      <w:r w:rsidRPr="00AA6642">
        <w:rPr>
          <w:lang w:val="lv-LV"/>
        </w:rPr>
        <w:t xml:space="preserve">Mums ir nepieciešami apstiprināti rādītāji, piemēram, lai mērītu  12.pantu "Vienlīdzīga tiesībspējas atzīšana". "Process, lai persona varētu īstenot tiesiskas darbības (piemēram, iesniegt sūdzību, </w:t>
      </w:r>
      <w:r w:rsidR="00927579" w:rsidRPr="00AA6642">
        <w:rPr>
          <w:lang w:val="lv-LV"/>
        </w:rPr>
        <w:t>slēgt līgumu)  vienlīdzīgi</w:t>
      </w:r>
      <w:r w:rsidRPr="00AA6642">
        <w:rPr>
          <w:lang w:val="lv-LV"/>
        </w:rPr>
        <w:t xml:space="preserve"> </w:t>
      </w:r>
      <w:r w:rsidR="00927579" w:rsidRPr="00AA6642">
        <w:rPr>
          <w:lang w:val="lv-LV"/>
        </w:rPr>
        <w:t>citām personām</w:t>
      </w:r>
      <w:r w:rsidRPr="00AA6642">
        <w:rPr>
          <w:lang w:val="lv-LV"/>
        </w:rPr>
        <w:t>, k</w:t>
      </w:r>
      <w:r w:rsidR="00927579" w:rsidRPr="00AA6642">
        <w:rPr>
          <w:lang w:val="lv-LV"/>
        </w:rPr>
        <w:t>urām ir pilna rīc</w:t>
      </w:r>
      <w:r w:rsidRPr="00AA6642">
        <w:rPr>
          <w:lang w:val="lv-LV"/>
        </w:rPr>
        <w:t>ībspēja."</w:t>
      </w:r>
    </w:p>
    <w:p w:rsidR="0002431B" w:rsidRPr="00AA6642" w:rsidRDefault="00927579" w:rsidP="00984EDB">
      <w:pPr>
        <w:pStyle w:val="ListParagraph"/>
        <w:numPr>
          <w:ilvl w:val="0"/>
          <w:numId w:val="24"/>
        </w:numPr>
        <w:rPr>
          <w:rFonts w:ascii="Times New Roman" w:eastAsia="Times New Roman" w:hAnsi="Times New Roman"/>
          <w:lang w:val="lv-LV" w:eastAsia="de-AT"/>
        </w:rPr>
      </w:pPr>
      <w:r w:rsidRPr="00AA6642">
        <w:rPr>
          <w:rFonts w:eastAsia="Times New Roman"/>
          <w:lang w:val="lv-LV" w:eastAsia="de-AT"/>
        </w:rPr>
        <w:t>Mums ir nepieciešami indikatori, lai mērītu progresīvus procesus.</w:t>
      </w:r>
    </w:p>
    <w:p w:rsidR="00927579" w:rsidRPr="00AA6642" w:rsidRDefault="00927579" w:rsidP="00A6374C">
      <w:pPr>
        <w:spacing w:after="0"/>
        <w:rPr>
          <w:lang w:val="lv-LV"/>
        </w:rPr>
      </w:pPr>
      <w:r w:rsidRPr="00AA6642">
        <w:rPr>
          <w:lang w:val="lv-LV"/>
        </w:rPr>
        <w:t>Cilvēktiesību indikatoru piemēri</w:t>
      </w:r>
      <w:r w:rsidR="0002431B" w:rsidRPr="00AA6642">
        <w:rPr>
          <w:lang w:val="lv-LV"/>
        </w:rPr>
        <w:t xml:space="preserve">: ANED, </w:t>
      </w:r>
      <w:r w:rsidRPr="00AA6642">
        <w:rPr>
          <w:lang w:val="lv-LV"/>
        </w:rPr>
        <w:t xml:space="preserve">Eiropas invaliditātes ekspertu tīkls </w:t>
      </w:r>
    </w:p>
    <w:p w:rsidR="00967C6C" w:rsidRPr="00AA6642" w:rsidRDefault="00967C6C" w:rsidP="00A6374C">
      <w:pPr>
        <w:spacing w:after="0"/>
        <w:rPr>
          <w:b/>
          <w:lang w:val="lv-LV"/>
        </w:rPr>
      </w:pPr>
    </w:p>
    <w:p w:rsidR="0002431B" w:rsidRPr="00AA6642" w:rsidRDefault="00516A9C" w:rsidP="00A6374C">
      <w:pPr>
        <w:spacing w:after="0"/>
        <w:rPr>
          <w:b/>
          <w:lang w:val="lv-LV"/>
        </w:rPr>
      </w:pPr>
      <w:r w:rsidRPr="00AA6642">
        <w:rPr>
          <w:b/>
          <w:lang w:val="lv-LV"/>
        </w:rPr>
        <w:t>Invaliditātes vienlīdzības indikatori</w:t>
      </w:r>
      <w:r w:rsidRPr="00AA6642">
        <w:rPr>
          <w:lang w:val="lv-LV"/>
        </w:rPr>
        <w:t xml:space="preserve"> </w:t>
      </w:r>
      <w:r w:rsidR="0002431B" w:rsidRPr="00AA6642">
        <w:rPr>
          <w:b/>
          <w:lang w:val="lv-LV"/>
        </w:rPr>
        <w:t>2009:</w:t>
      </w:r>
    </w:p>
    <w:p w:rsidR="00516A9C" w:rsidRPr="00AA6642" w:rsidRDefault="00516A9C" w:rsidP="004A180A">
      <w:pPr>
        <w:spacing w:after="0"/>
        <w:rPr>
          <w:lang w:val="lv-LV"/>
        </w:rPr>
      </w:pPr>
      <w:r w:rsidRPr="00AA6642">
        <w:rPr>
          <w:lang w:val="lv-LV"/>
        </w:rPr>
        <w:t>1. Invaliditātes rādītāji / Demogrāfiskie rādītāji</w:t>
      </w:r>
      <w:r w:rsidRPr="00AA6642">
        <w:rPr>
          <w:lang w:val="lv-LV"/>
        </w:rPr>
        <w:br/>
        <w:t>2. Personīgā un ģimenes dzīve</w:t>
      </w:r>
      <w:r w:rsidRPr="00AA6642">
        <w:rPr>
          <w:lang w:val="lv-LV"/>
        </w:rPr>
        <w:br/>
        <w:t>3. Izvēle un kontrole</w:t>
      </w:r>
      <w:r w:rsidRPr="00AA6642">
        <w:rPr>
          <w:lang w:val="lv-LV"/>
        </w:rPr>
        <w:br/>
      </w:r>
      <w:r w:rsidRPr="00AA6642">
        <w:rPr>
          <w:lang w:val="lv-LV"/>
        </w:rPr>
        <w:lastRenderedPageBreak/>
        <w:t>4. Pieeja precēm un pakalpojumiem</w:t>
      </w:r>
      <w:r w:rsidRPr="00AA6642">
        <w:rPr>
          <w:lang w:val="lv-LV"/>
        </w:rPr>
        <w:br/>
        <w:t>5. Izglītība un mūžizglītība</w:t>
      </w:r>
      <w:r w:rsidRPr="00AA6642">
        <w:rPr>
          <w:lang w:val="lv-LV"/>
        </w:rPr>
        <w:br/>
        <w:t>6. Darbs un nodarbinātība</w:t>
      </w:r>
      <w:r w:rsidRPr="00AA6642">
        <w:rPr>
          <w:lang w:val="lv-LV"/>
        </w:rPr>
        <w:br/>
        <w:t>7. Ienākumi un nabadzība</w:t>
      </w:r>
    </w:p>
    <w:p w:rsidR="0002431B" w:rsidRPr="00AA6642" w:rsidRDefault="00516A9C" w:rsidP="004A180A">
      <w:pPr>
        <w:spacing w:before="240" w:after="0"/>
        <w:rPr>
          <w:rFonts w:ascii="Times New Roman" w:eastAsia="Times New Roman" w:hAnsi="Times New Roman"/>
          <w:b/>
          <w:lang w:val="lv-LV" w:eastAsia="de-AT"/>
        </w:rPr>
      </w:pPr>
      <w:r w:rsidRPr="00AA6642">
        <w:rPr>
          <w:rFonts w:eastAsia="Times New Roman"/>
          <w:b/>
          <w:lang w:val="lv-LV" w:eastAsia="de-AT"/>
        </w:rPr>
        <w:t>Izvēle un kontrole</w:t>
      </w:r>
    </w:p>
    <w:p w:rsidR="0002431B" w:rsidRPr="00AA6642" w:rsidRDefault="00516A9C" w:rsidP="00984EDB">
      <w:pPr>
        <w:pStyle w:val="ListParagraph"/>
        <w:numPr>
          <w:ilvl w:val="0"/>
          <w:numId w:val="25"/>
        </w:numPr>
        <w:rPr>
          <w:rFonts w:ascii="Times New Roman" w:eastAsia="Times New Roman" w:hAnsi="Times New Roman"/>
          <w:lang w:val="lv-LV" w:eastAsia="de-AT"/>
        </w:rPr>
      </w:pPr>
      <w:r w:rsidRPr="00AA6642">
        <w:rPr>
          <w:lang w:val="lv-LV"/>
        </w:rPr>
        <w:t>Īpatsvars starp sievietēm un vīriešiem ar invaliditāti, kuri dzīvo privātās mājsaimniecībās</w:t>
      </w:r>
    </w:p>
    <w:p w:rsidR="0002431B" w:rsidRPr="00AA6642" w:rsidRDefault="0002431B" w:rsidP="00984EDB">
      <w:pPr>
        <w:pStyle w:val="ListParagraph"/>
        <w:numPr>
          <w:ilvl w:val="0"/>
          <w:numId w:val="25"/>
        </w:numPr>
        <w:rPr>
          <w:rFonts w:ascii="Times New Roman" w:eastAsia="Times New Roman" w:hAnsi="Times New Roman"/>
          <w:lang w:val="lv-LV" w:eastAsia="de-AT"/>
        </w:rPr>
      </w:pPr>
      <w:r w:rsidRPr="00AA6642">
        <w:rPr>
          <w:rFonts w:eastAsia="Times New Roman"/>
          <w:lang w:val="lv-LV" w:eastAsia="de-AT"/>
        </w:rPr>
        <w:t>P</w:t>
      </w:r>
      <w:r w:rsidR="00516A9C" w:rsidRPr="00AA6642">
        <w:rPr>
          <w:rFonts w:eastAsia="Times New Roman"/>
          <w:lang w:val="lv-LV" w:eastAsia="de-AT"/>
        </w:rPr>
        <w:t xml:space="preserve">ersonu ar invaliditāti īpatsvars, kas dzīvo ilgstošas aprūpes institūcijās </w:t>
      </w:r>
    </w:p>
    <w:p w:rsidR="0002431B" w:rsidRPr="00AA6642" w:rsidRDefault="00516A9C" w:rsidP="00984EDB">
      <w:pPr>
        <w:pStyle w:val="ListParagraph"/>
        <w:numPr>
          <w:ilvl w:val="0"/>
          <w:numId w:val="25"/>
        </w:numPr>
        <w:rPr>
          <w:rFonts w:ascii="Times New Roman" w:eastAsia="Times New Roman" w:hAnsi="Times New Roman"/>
          <w:lang w:val="lv-LV" w:eastAsia="de-AT"/>
        </w:rPr>
      </w:pPr>
      <w:r w:rsidRPr="00AA6642">
        <w:rPr>
          <w:lang w:val="lv-LV"/>
        </w:rPr>
        <w:t>Izdevumi par sociālo atbalstu cilvēkiem ar invaliditāti, lai dzīvotu mājās</w:t>
      </w:r>
      <w:r w:rsidR="0002431B" w:rsidRPr="00AA6642">
        <w:rPr>
          <w:rFonts w:eastAsia="Times New Roman"/>
          <w:lang w:val="lv-LV" w:eastAsia="de-AT"/>
        </w:rPr>
        <w:t xml:space="preserve"> </w:t>
      </w:r>
    </w:p>
    <w:p w:rsidR="0002431B" w:rsidRPr="00AA6642" w:rsidRDefault="00516A9C" w:rsidP="00984EDB">
      <w:pPr>
        <w:pStyle w:val="ListParagraph"/>
        <w:numPr>
          <w:ilvl w:val="0"/>
          <w:numId w:val="25"/>
        </w:numPr>
        <w:rPr>
          <w:rFonts w:ascii="Times New Roman" w:eastAsia="Times New Roman" w:hAnsi="Times New Roman"/>
          <w:lang w:val="lv-LV" w:eastAsia="de-AT"/>
        </w:rPr>
      </w:pPr>
      <w:r w:rsidRPr="00AA6642">
        <w:rPr>
          <w:rFonts w:eastAsia="Times New Roman"/>
          <w:lang w:val="lv-LV" w:eastAsia="de-AT"/>
        </w:rPr>
        <w:t xml:space="preserve">Izdevumi par ilgstošas sociālās aprūpes pakalpojuma nodrošinājumu </w:t>
      </w:r>
    </w:p>
    <w:p w:rsidR="00516A9C" w:rsidRPr="00AA6642" w:rsidRDefault="00516A9C" w:rsidP="00984EDB">
      <w:pPr>
        <w:pStyle w:val="ListParagraph"/>
        <w:numPr>
          <w:ilvl w:val="0"/>
          <w:numId w:val="25"/>
        </w:numPr>
        <w:rPr>
          <w:rFonts w:ascii="Times New Roman" w:eastAsia="Times New Roman" w:hAnsi="Times New Roman"/>
          <w:lang w:val="lv-LV" w:eastAsia="de-AT"/>
        </w:rPr>
      </w:pPr>
      <w:r w:rsidRPr="00AA6642">
        <w:rPr>
          <w:rFonts w:eastAsia="Times New Roman"/>
          <w:lang w:val="lv-LV" w:eastAsia="de-AT"/>
        </w:rPr>
        <w:t xml:space="preserve">Pietiekama palīdzība pašaprūpē un ikdienas dzīves aktivitātēs </w:t>
      </w:r>
    </w:p>
    <w:p w:rsidR="0002431B" w:rsidRPr="00AA6642" w:rsidRDefault="00516A9C" w:rsidP="00984EDB">
      <w:pPr>
        <w:pStyle w:val="ListParagraph"/>
        <w:numPr>
          <w:ilvl w:val="0"/>
          <w:numId w:val="25"/>
        </w:numPr>
        <w:rPr>
          <w:rFonts w:ascii="Times New Roman" w:eastAsia="Times New Roman" w:hAnsi="Times New Roman"/>
          <w:lang w:val="lv-LV" w:eastAsia="de-AT"/>
        </w:rPr>
      </w:pPr>
      <w:r w:rsidRPr="00AA6642">
        <w:rPr>
          <w:rFonts w:eastAsia="Times New Roman"/>
          <w:lang w:val="lv-LV" w:eastAsia="de-AT"/>
        </w:rPr>
        <w:t xml:space="preserve">Aprūpes mājās pakalpojumi cilvēkiem ar invaliditāti </w:t>
      </w:r>
    </w:p>
    <w:p w:rsidR="0002431B" w:rsidRPr="00AA6642" w:rsidRDefault="00516A9C" w:rsidP="00984EDB">
      <w:pPr>
        <w:pStyle w:val="ListParagraph"/>
        <w:numPr>
          <w:ilvl w:val="0"/>
          <w:numId w:val="25"/>
        </w:numPr>
        <w:rPr>
          <w:rFonts w:ascii="Times New Roman" w:eastAsia="Times New Roman" w:hAnsi="Times New Roman"/>
          <w:lang w:val="lv-LV" w:eastAsia="de-AT"/>
        </w:rPr>
      </w:pPr>
      <w:r w:rsidRPr="00AA6642">
        <w:rPr>
          <w:rFonts w:eastAsia="Times New Roman"/>
          <w:lang w:val="lv-LV" w:eastAsia="de-AT"/>
        </w:rPr>
        <w:t xml:space="preserve">Cilvēku skaits, kuri saņem individuālos budžetus neatkarīgas dzīves nodrošināšanai (Administratīvie dati) </w:t>
      </w:r>
    </w:p>
    <w:p w:rsidR="002B3F5D" w:rsidRPr="00AA6642" w:rsidRDefault="002B3F5D" w:rsidP="00984EDB">
      <w:pPr>
        <w:pStyle w:val="ListParagraph"/>
        <w:numPr>
          <w:ilvl w:val="0"/>
          <w:numId w:val="25"/>
        </w:numPr>
        <w:rPr>
          <w:rFonts w:ascii="Times New Roman" w:eastAsia="Times New Roman" w:hAnsi="Times New Roman"/>
          <w:lang w:val="lv-LV" w:eastAsia="de-AT"/>
        </w:rPr>
      </w:pPr>
      <w:r w:rsidRPr="00AA6642">
        <w:rPr>
          <w:lang w:val="lv-LV"/>
        </w:rPr>
        <w:t xml:space="preserve">Dalības iespējas  </w:t>
      </w:r>
      <w:r w:rsidR="00516A9C" w:rsidRPr="00AA6642">
        <w:rPr>
          <w:lang w:val="lv-LV"/>
        </w:rPr>
        <w:t xml:space="preserve">vispārējās vēlēšanās, salīdzinot ar vispārējo populāciju </w:t>
      </w:r>
    </w:p>
    <w:p w:rsidR="0002431B" w:rsidRPr="00AA6642" w:rsidRDefault="002B3F5D" w:rsidP="00984EDB">
      <w:pPr>
        <w:pStyle w:val="ListParagraph"/>
        <w:numPr>
          <w:ilvl w:val="0"/>
          <w:numId w:val="25"/>
        </w:numPr>
        <w:rPr>
          <w:rFonts w:ascii="Times New Roman" w:eastAsia="Times New Roman" w:hAnsi="Times New Roman"/>
          <w:lang w:val="lv-LV" w:eastAsia="de-AT"/>
        </w:rPr>
      </w:pPr>
      <w:r w:rsidRPr="00AA6642">
        <w:rPr>
          <w:rFonts w:eastAsia="Times New Roman"/>
          <w:lang w:val="lv-LV" w:eastAsia="de-AT"/>
        </w:rPr>
        <w:t>Aktīva politiskā līdzdalība</w:t>
      </w:r>
    </w:p>
    <w:p w:rsidR="0002431B" w:rsidRPr="00AA6642" w:rsidRDefault="002B3F5D" w:rsidP="00984EDB">
      <w:pPr>
        <w:pStyle w:val="ListParagraph"/>
        <w:numPr>
          <w:ilvl w:val="0"/>
          <w:numId w:val="25"/>
        </w:numPr>
        <w:rPr>
          <w:rFonts w:ascii="Times New Roman" w:eastAsia="Times New Roman" w:hAnsi="Times New Roman"/>
          <w:lang w:val="lv-LV" w:eastAsia="de-AT"/>
        </w:rPr>
      </w:pPr>
      <w:r w:rsidRPr="00AA6642">
        <w:rPr>
          <w:rFonts w:eastAsia="Times New Roman"/>
          <w:lang w:val="lv-LV" w:eastAsia="de-AT"/>
        </w:rPr>
        <w:t>Deputātu ar invaliditāti proporcija</w:t>
      </w:r>
    </w:p>
    <w:p w:rsidR="0002431B" w:rsidRPr="00AA6642" w:rsidRDefault="0002431B" w:rsidP="00721BF2">
      <w:pPr>
        <w:pStyle w:val="Heading2"/>
        <w:rPr>
          <w:lang w:val="lv-LV"/>
        </w:rPr>
      </w:pPr>
      <w:bookmarkStart w:id="65" w:name="_Toc443312630"/>
      <w:bookmarkStart w:id="66" w:name="_Toc444090601"/>
      <w:r w:rsidRPr="00AA6642">
        <w:rPr>
          <w:lang w:val="lv-LV"/>
        </w:rPr>
        <w:t>IV.</w:t>
      </w:r>
      <w:r w:rsidR="005254B0" w:rsidRPr="00AA6642">
        <w:rPr>
          <w:lang w:val="lv-LV"/>
        </w:rPr>
        <w:t>4.6</w:t>
      </w:r>
      <w:r w:rsidRPr="00AA6642">
        <w:rPr>
          <w:lang w:val="lv-LV"/>
        </w:rPr>
        <w:t xml:space="preserve"> </w:t>
      </w:r>
      <w:r w:rsidR="002B3F5D" w:rsidRPr="00AA6642">
        <w:rPr>
          <w:lang w:val="lv-LV"/>
        </w:rPr>
        <w:t xml:space="preserve">Invaliditātes datu vai statistikas uzlabojumi </w:t>
      </w:r>
      <w:bookmarkEnd w:id="65"/>
      <w:bookmarkEnd w:id="66"/>
    </w:p>
    <w:p w:rsidR="002B3F5D" w:rsidRPr="00AA6642" w:rsidRDefault="002B3F5D" w:rsidP="005254B0">
      <w:pPr>
        <w:rPr>
          <w:lang w:val="lv-LV"/>
        </w:rPr>
      </w:pPr>
      <w:r w:rsidRPr="00AA6642">
        <w:rPr>
          <w:lang w:val="lv-LV"/>
        </w:rPr>
        <w:t xml:space="preserve">Par ar </w:t>
      </w:r>
      <w:r w:rsidRPr="00AA6642">
        <w:rPr>
          <w:b/>
          <w:lang w:val="lv-LV"/>
        </w:rPr>
        <w:t>Konvencijas par personu ar invaliditāti tiesībām Dalībvalstu konference</w:t>
      </w:r>
      <w:r w:rsidRPr="00AA6642">
        <w:rPr>
          <w:lang w:val="lv-LV"/>
        </w:rPr>
        <w:t xml:space="preserve"> tās astotajā sesijā nāca klajā ar visaptverošu ieteikumu sarakstu, lai uzlabotu datu izmantošanu un datu vākšanu.</w:t>
      </w:r>
    </w:p>
    <w:p w:rsidR="0002431B" w:rsidRPr="00AA6642" w:rsidRDefault="002B3F5D" w:rsidP="005254B0">
      <w:pPr>
        <w:spacing w:after="0"/>
        <w:rPr>
          <w:rFonts w:ascii="Times New Roman" w:eastAsia="Times New Roman" w:hAnsi="Times New Roman"/>
          <w:lang w:val="lv-LV" w:eastAsia="de-AT"/>
        </w:rPr>
      </w:pPr>
      <w:r w:rsidRPr="00AA6642">
        <w:rPr>
          <w:rFonts w:eastAsia="Times New Roman"/>
          <w:lang w:val="lv-LV" w:eastAsia="de-AT"/>
        </w:rPr>
        <w:t>Kā turpmāko rīcību konference ierosina, piemēram</w:t>
      </w:r>
      <w:r w:rsidR="0002431B" w:rsidRPr="00AA6642">
        <w:rPr>
          <w:rFonts w:eastAsia="Times New Roman"/>
          <w:lang w:val="lv-LV" w:eastAsia="de-AT"/>
        </w:rPr>
        <w:t xml:space="preserve">: </w:t>
      </w:r>
    </w:p>
    <w:p w:rsidR="002B3F5D" w:rsidRPr="00AA6642" w:rsidRDefault="002B3F5D" w:rsidP="00984EDB">
      <w:pPr>
        <w:pStyle w:val="ListParagraph"/>
        <w:numPr>
          <w:ilvl w:val="0"/>
          <w:numId w:val="26"/>
        </w:numPr>
        <w:rPr>
          <w:rFonts w:ascii="Times New Roman" w:eastAsia="Times New Roman" w:hAnsi="Times New Roman"/>
          <w:lang w:val="lv-LV" w:eastAsia="de-AT"/>
        </w:rPr>
      </w:pPr>
      <w:r w:rsidRPr="00AA6642">
        <w:rPr>
          <w:lang w:val="lv-LV"/>
        </w:rPr>
        <w:t>Ir ļoti svarīgi noteikt nepieciešamās intervences veidus.</w:t>
      </w:r>
    </w:p>
    <w:p w:rsidR="002B3F5D" w:rsidRPr="00AA6642" w:rsidRDefault="002B3F5D" w:rsidP="00984EDB">
      <w:pPr>
        <w:pStyle w:val="ListParagraph"/>
        <w:numPr>
          <w:ilvl w:val="0"/>
          <w:numId w:val="26"/>
        </w:numPr>
        <w:rPr>
          <w:rFonts w:ascii="Times New Roman" w:eastAsia="Times New Roman" w:hAnsi="Times New Roman"/>
          <w:lang w:val="lv-LV" w:eastAsia="de-AT"/>
        </w:rPr>
      </w:pPr>
      <w:r w:rsidRPr="00AA6642">
        <w:rPr>
          <w:lang w:val="lv-LV"/>
        </w:rPr>
        <w:t xml:space="preserve">Invaliditātes mērījums valsts līmenī varētu vēl vairāk uzlabot, izmantojot vienotu </w:t>
      </w:r>
      <w:r w:rsidRPr="00AA6642">
        <w:rPr>
          <w:b/>
          <w:lang w:val="lv-LV"/>
        </w:rPr>
        <w:t>jēdzienu, definīciju, standartu un metožu kopumu</w:t>
      </w:r>
      <w:r w:rsidRPr="00AA6642">
        <w:rPr>
          <w:lang w:val="lv-LV"/>
        </w:rPr>
        <w:t>, piemēram, līdzīgi tiem, kurus ir izstrādājusi un pārbaudījusi  Vašingtonas grupas, UNICEF un PVO / Pasaules Banka. Nepieciešams ievērojams darbs, lai īstenotu un iekļaut šīs metodoloģijas esošajos datu vākšanas pasākumos.</w:t>
      </w:r>
    </w:p>
    <w:p w:rsidR="002B3F5D" w:rsidRPr="00AA6642" w:rsidRDefault="002B3F5D" w:rsidP="00984EDB">
      <w:pPr>
        <w:pStyle w:val="ListParagraph"/>
        <w:numPr>
          <w:ilvl w:val="0"/>
          <w:numId w:val="26"/>
        </w:numPr>
        <w:rPr>
          <w:rFonts w:ascii="Times New Roman" w:eastAsia="Times New Roman" w:hAnsi="Times New Roman"/>
          <w:lang w:val="lv-LV" w:eastAsia="de-AT"/>
        </w:rPr>
      </w:pPr>
      <w:r w:rsidRPr="00AA6642">
        <w:rPr>
          <w:b/>
          <w:lang w:val="lv-LV"/>
        </w:rPr>
        <w:t>Kontaktpunkti</w:t>
      </w:r>
      <w:r w:rsidRPr="00AA6642">
        <w:rPr>
          <w:lang w:val="lv-LV"/>
        </w:rPr>
        <w:t xml:space="preserve"> valsts līmenī, kuru uzdevums ir koordinēt un izplatīt centienus uzlabot invaliditātes datu vākšanu palīdzēs stiprināt globālas un reģionālas kapacitātes palielināšanas aktivitātes.</w:t>
      </w:r>
    </w:p>
    <w:p w:rsidR="002B3F5D" w:rsidRPr="00AA6642" w:rsidRDefault="003E239A" w:rsidP="00984EDB">
      <w:pPr>
        <w:pStyle w:val="ListParagraph"/>
        <w:numPr>
          <w:ilvl w:val="0"/>
          <w:numId w:val="26"/>
        </w:numPr>
        <w:rPr>
          <w:rFonts w:eastAsia="Times New Roman"/>
          <w:lang w:val="lv-LV" w:eastAsia="de-AT"/>
        </w:rPr>
      </w:pPr>
      <w:r w:rsidRPr="00AA6642">
        <w:rPr>
          <w:lang w:val="lv-LV"/>
        </w:rPr>
        <w:t>Lai papildinātu kvantitatīvus datus būtu jāmeklē</w:t>
      </w:r>
      <w:r w:rsidR="002B3F5D" w:rsidRPr="00AA6642">
        <w:rPr>
          <w:lang w:val="lv-LV"/>
        </w:rPr>
        <w:t xml:space="preserve">, </w:t>
      </w:r>
      <w:r w:rsidRPr="00AA6642">
        <w:rPr>
          <w:lang w:val="lv-LV"/>
        </w:rPr>
        <w:t>jāapkopo</w:t>
      </w:r>
      <w:r w:rsidR="002B3F5D" w:rsidRPr="00AA6642">
        <w:rPr>
          <w:lang w:val="lv-LV"/>
        </w:rPr>
        <w:t xml:space="preserve">, </w:t>
      </w:r>
      <w:r w:rsidRPr="00AA6642">
        <w:rPr>
          <w:lang w:val="lv-LV"/>
        </w:rPr>
        <w:t>jāanalizē</w:t>
      </w:r>
      <w:r w:rsidR="002B3F5D" w:rsidRPr="00AA6642">
        <w:rPr>
          <w:lang w:val="lv-LV"/>
        </w:rPr>
        <w:t xml:space="preserve"> un </w:t>
      </w:r>
      <w:r w:rsidRPr="00AA6642">
        <w:rPr>
          <w:lang w:val="lv-LV"/>
        </w:rPr>
        <w:t xml:space="preserve">jāizmanto </w:t>
      </w:r>
      <w:r w:rsidRPr="00AA6642">
        <w:rPr>
          <w:b/>
          <w:lang w:val="lv-LV"/>
        </w:rPr>
        <w:t>kvalitatīvā informācija</w:t>
      </w:r>
      <w:r w:rsidR="002B3F5D" w:rsidRPr="00AA6642">
        <w:rPr>
          <w:lang w:val="lv-LV"/>
        </w:rPr>
        <w:t xml:space="preserve">. Tas palīdzēs nodrošināt pilnīgāku izpratni par invaliditāti un cilvēku </w:t>
      </w:r>
      <w:r w:rsidRPr="00AA6642">
        <w:rPr>
          <w:lang w:val="lv-LV"/>
        </w:rPr>
        <w:t>funkcionēšanu</w:t>
      </w:r>
      <w:r w:rsidR="002B3F5D" w:rsidRPr="00AA6642">
        <w:rPr>
          <w:lang w:val="lv-LV"/>
        </w:rPr>
        <w:t>.</w:t>
      </w:r>
    </w:p>
    <w:p w:rsidR="003E239A" w:rsidRPr="00AA6642" w:rsidRDefault="003E239A" w:rsidP="00984EDB">
      <w:pPr>
        <w:pStyle w:val="ListParagraph"/>
        <w:numPr>
          <w:ilvl w:val="0"/>
          <w:numId w:val="26"/>
        </w:numPr>
        <w:rPr>
          <w:rFonts w:eastAsia="Times New Roman"/>
          <w:lang w:val="lv-LV" w:eastAsia="de-AT"/>
        </w:rPr>
      </w:pPr>
      <w:r w:rsidRPr="00AA6642">
        <w:rPr>
          <w:lang w:val="lv-LV"/>
        </w:rPr>
        <w:lastRenderedPageBreak/>
        <w:t>Lai iegūtu informāciju par uztveri un attieksmi</w:t>
      </w:r>
      <w:r w:rsidR="00AA6642">
        <w:rPr>
          <w:lang w:val="lv-LV"/>
        </w:rPr>
        <w:t>,</w:t>
      </w:r>
      <w:r w:rsidRPr="00AA6642">
        <w:rPr>
          <w:lang w:val="lv-LV"/>
        </w:rPr>
        <w:t xml:space="preserve"> jāturpina vidējā termiņā izmantot papildus datu vākšanas instruments.  Būtu jāvāc informācija par strukturāliem raksturlielumiem, piemēram, par skolas </w:t>
      </w:r>
      <w:r w:rsidR="00AA6642" w:rsidRPr="00AA6642">
        <w:rPr>
          <w:lang w:val="lv-LV"/>
        </w:rPr>
        <w:t>ēkām</w:t>
      </w:r>
      <w:r w:rsidRPr="00AA6642">
        <w:rPr>
          <w:lang w:val="lv-LV"/>
        </w:rPr>
        <w:t xml:space="preserve"> vai ceļiem, jo tie attiecas uz personām ar invaliditāti.</w:t>
      </w:r>
    </w:p>
    <w:p w:rsidR="003E239A" w:rsidRPr="00AA6642" w:rsidRDefault="003E239A" w:rsidP="00984EDB">
      <w:pPr>
        <w:pStyle w:val="ListParagraph"/>
        <w:numPr>
          <w:ilvl w:val="0"/>
          <w:numId w:val="26"/>
        </w:numPr>
        <w:rPr>
          <w:rFonts w:eastAsia="Times New Roman"/>
          <w:lang w:val="lv-LV" w:eastAsia="de-AT"/>
        </w:rPr>
      </w:pPr>
      <w:r w:rsidRPr="00AA6642">
        <w:rPr>
          <w:lang w:val="lv-LV"/>
        </w:rPr>
        <w:t xml:space="preserve">Kā ilgtermiņa mērķi dalībvalstis var apsvērt iespēju </w:t>
      </w:r>
      <w:r w:rsidRPr="00AA6642">
        <w:rPr>
          <w:b/>
          <w:lang w:val="lv-LV"/>
        </w:rPr>
        <w:t>izveidot integrētu datu sistēmu, kas ietvertu invaliditātes / funkcionēšanas datus</w:t>
      </w:r>
      <w:r w:rsidRPr="00AA6642">
        <w:rPr>
          <w:lang w:val="lv-LV"/>
        </w:rPr>
        <w:t xml:space="preserve"> administratīvajās, tautas skaitīšanas un iedzīvotāju aptaujās (ietverot jauno metodiku, piemēram, invaliditātes aptaujas modelis regulāros piecu gadu ciklos).</w:t>
      </w:r>
    </w:p>
    <w:p w:rsidR="003E239A" w:rsidRPr="00AA6642" w:rsidRDefault="003E239A" w:rsidP="00984EDB">
      <w:pPr>
        <w:pStyle w:val="ListParagraph"/>
        <w:numPr>
          <w:ilvl w:val="0"/>
          <w:numId w:val="26"/>
        </w:numPr>
        <w:rPr>
          <w:rFonts w:eastAsia="Times New Roman"/>
          <w:lang w:val="lv-LV" w:eastAsia="de-AT"/>
        </w:rPr>
      </w:pPr>
      <w:r w:rsidRPr="00AA6642">
        <w:rPr>
          <w:b/>
          <w:lang w:val="lv-LV"/>
        </w:rPr>
        <w:t>Personas ar invaliditāti un viņu organizācijas jāiekļauj</w:t>
      </w:r>
      <w:r w:rsidRPr="00AA6642">
        <w:rPr>
          <w:lang w:val="lv-LV"/>
        </w:rPr>
        <w:t xml:space="preserve"> pašreizējos un nākotnes centienos uzlabot valsts statistiku un pētījumu datus;  jebkurā izveidotā datu krājums / uzraudzības sistēmā; nodrošināt, ka datu izplatīšanu tiek sniegta pieejamā formātā; un konsultācijas ar personām ar invaliditāti </w:t>
      </w:r>
      <w:r w:rsidR="006F3CEE" w:rsidRPr="00AA6642">
        <w:rPr>
          <w:lang w:val="lv-LV"/>
        </w:rPr>
        <w:t xml:space="preserve">pētījumu datu </w:t>
      </w:r>
      <w:r w:rsidRPr="00AA6642">
        <w:rPr>
          <w:lang w:val="lv-LV"/>
        </w:rPr>
        <w:t>analīzei un ziņošanai par</w:t>
      </w:r>
      <w:r w:rsidR="006F3CEE" w:rsidRPr="00AA6642">
        <w:rPr>
          <w:lang w:val="lv-LV"/>
        </w:rPr>
        <w:t xml:space="preserve"> tiem</w:t>
      </w:r>
      <w:r w:rsidRPr="00AA6642">
        <w:rPr>
          <w:lang w:val="lv-LV"/>
        </w:rPr>
        <w:t>.</w:t>
      </w:r>
    </w:p>
    <w:p w:rsidR="0002431B" w:rsidRPr="00AA6642" w:rsidRDefault="0002431B" w:rsidP="00936B86">
      <w:pPr>
        <w:rPr>
          <w:rFonts w:eastAsiaTheme="majorEastAsia" w:cstheme="majorBidi"/>
          <w:color w:val="365F91" w:themeColor="accent1" w:themeShade="BF"/>
          <w:sz w:val="28"/>
          <w:szCs w:val="28"/>
          <w:lang w:val="lv-LV"/>
        </w:rPr>
      </w:pPr>
      <w:r w:rsidRPr="00AA6642">
        <w:rPr>
          <w:lang w:val="lv-LV"/>
        </w:rPr>
        <w:br w:type="page"/>
      </w:r>
    </w:p>
    <w:p w:rsidR="0002431B" w:rsidRPr="00AA6642" w:rsidRDefault="0002431B" w:rsidP="005254B0">
      <w:pPr>
        <w:pStyle w:val="Heading1"/>
        <w:rPr>
          <w:lang w:val="lv-LV"/>
        </w:rPr>
      </w:pPr>
      <w:bookmarkStart w:id="67" w:name="_Toc443312631"/>
      <w:bookmarkStart w:id="68" w:name="_Toc444090602"/>
      <w:r w:rsidRPr="00AA6642">
        <w:rPr>
          <w:lang w:val="lv-LV"/>
        </w:rPr>
        <w:lastRenderedPageBreak/>
        <w:t>BIBLIOGR</w:t>
      </w:r>
      <w:r w:rsidR="00DD33D9" w:rsidRPr="00AA6642">
        <w:rPr>
          <w:lang w:val="lv-LV"/>
        </w:rPr>
        <w:t>ĀFIJA</w:t>
      </w:r>
      <w:r w:rsidRPr="00AA6642">
        <w:rPr>
          <w:lang w:val="lv-LV"/>
        </w:rPr>
        <w:t>/</w:t>
      </w:r>
      <w:bookmarkEnd w:id="67"/>
      <w:bookmarkEnd w:id="68"/>
      <w:r w:rsidR="00DD33D9" w:rsidRPr="00AA6642">
        <w:rPr>
          <w:lang w:val="lv-LV"/>
        </w:rPr>
        <w:t>IETECAMĀ LITERATŪRA</w:t>
      </w:r>
    </w:p>
    <w:p w:rsidR="00654F68" w:rsidRPr="00AA6642" w:rsidRDefault="00D279EE" w:rsidP="00984EDB">
      <w:pPr>
        <w:pStyle w:val="ListParagraph"/>
        <w:numPr>
          <w:ilvl w:val="0"/>
          <w:numId w:val="27"/>
        </w:numPr>
        <w:rPr>
          <w:lang w:val="lv-LV"/>
        </w:rPr>
      </w:pPr>
      <w:hyperlink r:id="rId14" w:history="1">
        <w:r w:rsidR="00654F68" w:rsidRPr="00AA6642">
          <w:rPr>
            <w:rStyle w:val="Hyperlink"/>
            <w:lang w:val="lv-LV"/>
          </w:rPr>
          <w:t>AccessAbility. A practical handbook on accessible Graphic Design</w:t>
        </w:r>
      </w:hyperlink>
      <w:r w:rsidR="00654F68" w:rsidRPr="00AA6642">
        <w:rPr>
          <w:lang w:val="lv-LV"/>
        </w:rPr>
        <w:t xml:space="preserve"> </w:t>
      </w:r>
    </w:p>
    <w:p w:rsidR="00654F68" w:rsidRPr="00AA6642" w:rsidRDefault="00654F68" w:rsidP="00984EDB">
      <w:pPr>
        <w:pStyle w:val="ListParagraph"/>
        <w:numPr>
          <w:ilvl w:val="0"/>
          <w:numId w:val="27"/>
        </w:numPr>
        <w:rPr>
          <w:lang w:val="lv-LV"/>
        </w:rPr>
      </w:pPr>
      <w:r w:rsidRPr="00AA6642">
        <w:rPr>
          <w:lang w:val="lv-LV"/>
        </w:rPr>
        <w:t>Andreas Riege, Nicholas Lindsay, (2006) "</w:t>
      </w:r>
      <w:hyperlink r:id="rId15" w:history="1">
        <w:r w:rsidRPr="00AA6642">
          <w:rPr>
            <w:rStyle w:val="Hyperlink"/>
            <w:lang w:val="lv-LV"/>
          </w:rPr>
          <w:t>Knowledge management in the public sector: stakeholder partnerships in the public policy development</w:t>
        </w:r>
      </w:hyperlink>
      <w:r w:rsidRPr="00AA6642">
        <w:rPr>
          <w:lang w:val="lv-LV"/>
        </w:rPr>
        <w:t>", Journal of Knowledge Management, Vol. 10 Iss: 3, pp.24 - 39.</w:t>
      </w:r>
    </w:p>
    <w:p w:rsidR="00654F68" w:rsidRPr="00AA6642" w:rsidRDefault="00654F68" w:rsidP="00984EDB">
      <w:pPr>
        <w:pStyle w:val="ListParagraph"/>
        <w:numPr>
          <w:ilvl w:val="0"/>
          <w:numId w:val="27"/>
        </w:numPr>
        <w:rPr>
          <w:lang w:val="lv-LV"/>
        </w:rPr>
      </w:pPr>
      <w:r w:rsidRPr="00AA6642">
        <w:rPr>
          <w:lang w:val="lv-LV"/>
        </w:rPr>
        <w:t xml:space="preserve">Borden and Perkins; </w:t>
      </w:r>
      <w:hyperlink r:id="rId16" w:history="1">
        <w:r w:rsidRPr="00AA6642">
          <w:rPr>
            <w:rStyle w:val="Hyperlink"/>
            <w:lang w:val="lv-LV"/>
          </w:rPr>
          <w:t>Assessing Your Collaboration: A Self Evaluation Tool</w:t>
        </w:r>
      </w:hyperlink>
      <w:r w:rsidRPr="00AA6642">
        <w:rPr>
          <w:lang w:val="lv-LV"/>
        </w:rPr>
        <w:t xml:space="preserve">; 1999. </w:t>
      </w:r>
    </w:p>
    <w:p w:rsidR="00654F68" w:rsidRPr="00AA6642" w:rsidRDefault="00654F68" w:rsidP="00984EDB">
      <w:pPr>
        <w:pStyle w:val="ListParagraph"/>
        <w:numPr>
          <w:ilvl w:val="0"/>
          <w:numId w:val="27"/>
        </w:numPr>
        <w:rPr>
          <w:lang w:val="lv-LV"/>
        </w:rPr>
      </w:pPr>
      <w:r w:rsidRPr="00AA6642">
        <w:rPr>
          <w:lang w:val="lv-LV"/>
        </w:rPr>
        <w:t xml:space="preserve">Conference of state parties on the Rights of Persons with Disabilities, 8th. Session; </w:t>
      </w:r>
      <w:hyperlink r:id="rId17" w:history="1">
        <w:r w:rsidRPr="00AA6642">
          <w:rPr>
            <w:rStyle w:val="Hyperlink"/>
            <w:lang w:val="lv-LV"/>
          </w:rPr>
          <w:t>Improvement of disability data and statistics: objectives and challenges</w:t>
        </w:r>
      </w:hyperlink>
      <w:r w:rsidRPr="00AA6642">
        <w:rPr>
          <w:lang w:val="lv-LV"/>
        </w:rPr>
        <w:t xml:space="preserve"> </w:t>
      </w:r>
    </w:p>
    <w:p w:rsidR="00654F68" w:rsidRPr="00AA6642" w:rsidRDefault="00D279EE" w:rsidP="00984EDB">
      <w:pPr>
        <w:pStyle w:val="ListParagraph"/>
        <w:numPr>
          <w:ilvl w:val="0"/>
          <w:numId w:val="27"/>
        </w:numPr>
        <w:rPr>
          <w:lang w:val="lv-LV"/>
        </w:rPr>
      </w:pPr>
      <w:hyperlink r:id="rId18" w:history="1">
        <w:r w:rsidR="00654F68" w:rsidRPr="00AA6642">
          <w:rPr>
            <w:rStyle w:val="Hyperlink"/>
            <w:lang w:val="lv-LV"/>
          </w:rPr>
          <w:t>Documents related to the UNCRPD of the EC</w:t>
        </w:r>
      </w:hyperlink>
      <w:r w:rsidR="00654F68" w:rsidRPr="00AA6642">
        <w:rPr>
          <w:lang w:val="lv-LV"/>
        </w:rPr>
        <w:t xml:space="preserve"> </w:t>
      </w:r>
    </w:p>
    <w:p w:rsidR="00654F68" w:rsidRPr="00AA6642" w:rsidRDefault="00654F68" w:rsidP="00984EDB">
      <w:pPr>
        <w:pStyle w:val="ListParagraph"/>
        <w:numPr>
          <w:ilvl w:val="0"/>
          <w:numId w:val="27"/>
        </w:numPr>
        <w:rPr>
          <w:lang w:val="lv-LV"/>
        </w:rPr>
      </w:pPr>
      <w:r w:rsidRPr="00AA6642">
        <w:rPr>
          <w:lang w:val="lv-LV"/>
        </w:rPr>
        <w:t>EASPD “</w:t>
      </w:r>
      <w:hyperlink r:id="rId19" w:history="1">
        <w:r w:rsidRPr="00AA6642">
          <w:rPr>
            <w:rStyle w:val="Hyperlink"/>
            <w:lang w:val="lv-LV"/>
          </w:rPr>
          <w:t xml:space="preserve">Reaching </w:t>
        </w:r>
      </w:hyperlink>
      <w:hyperlink r:id="rId20" w:history="1">
        <w:r w:rsidRPr="00AA6642">
          <w:rPr>
            <w:rStyle w:val="Hyperlink"/>
            <w:lang w:val="lv-LV"/>
          </w:rPr>
          <w:t>Out</w:t>
        </w:r>
      </w:hyperlink>
      <w:r w:rsidRPr="00AA6642">
        <w:rPr>
          <w:lang w:val="lv-LV"/>
        </w:rPr>
        <w:t>” Strategy</w:t>
      </w:r>
    </w:p>
    <w:p w:rsidR="00654F68" w:rsidRPr="00AA6642" w:rsidRDefault="00D279EE" w:rsidP="00984EDB">
      <w:pPr>
        <w:pStyle w:val="ListParagraph"/>
        <w:numPr>
          <w:ilvl w:val="0"/>
          <w:numId w:val="27"/>
        </w:numPr>
        <w:rPr>
          <w:lang w:val="lv-LV"/>
        </w:rPr>
      </w:pPr>
      <w:hyperlink r:id="rId21" w:history="1">
        <w:r w:rsidR="00654F68" w:rsidRPr="00AA6642">
          <w:rPr>
            <w:rStyle w:val="Hyperlink"/>
            <w:lang w:val="lv-LV"/>
          </w:rPr>
          <w:t>Guidelines for Disability Data Collection tools and Measurement</w:t>
        </w:r>
      </w:hyperlink>
      <w:r w:rsidR="00654F68" w:rsidRPr="00AA6642">
        <w:rPr>
          <w:lang w:val="lv-LV"/>
        </w:rPr>
        <w:t xml:space="preserve"> </w:t>
      </w:r>
    </w:p>
    <w:p w:rsidR="00654F68" w:rsidRPr="00AA6642" w:rsidRDefault="00654F68" w:rsidP="00984EDB">
      <w:pPr>
        <w:pStyle w:val="ListParagraph"/>
        <w:numPr>
          <w:ilvl w:val="0"/>
          <w:numId w:val="27"/>
        </w:numPr>
        <w:rPr>
          <w:lang w:val="lv-LV"/>
        </w:rPr>
      </w:pPr>
      <w:r w:rsidRPr="00AA6642">
        <w:rPr>
          <w:lang w:val="lv-LV"/>
        </w:rPr>
        <w:t>Handicap International;</w:t>
      </w:r>
      <w:r w:rsidRPr="00AA6642">
        <w:rPr>
          <w:b/>
          <w:lang w:val="lv-LV"/>
        </w:rPr>
        <w:t xml:space="preserve"> </w:t>
      </w:r>
      <w:r w:rsidRPr="00AA6642">
        <w:rPr>
          <w:lang w:val="lv-LV"/>
        </w:rPr>
        <w:t>The role of an integrated system of information in the process of service provision, Document developed in the training program, 2009</w:t>
      </w:r>
    </w:p>
    <w:p w:rsidR="00654F68" w:rsidRPr="00AA6642" w:rsidRDefault="00654F68" w:rsidP="00984EDB">
      <w:pPr>
        <w:pStyle w:val="ListParagraph"/>
        <w:numPr>
          <w:ilvl w:val="0"/>
          <w:numId w:val="27"/>
        </w:numPr>
        <w:rPr>
          <w:lang w:val="lv-LV"/>
        </w:rPr>
      </w:pPr>
      <w:r w:rsidRPr="00AA6642">
        <w:rPr>
          <w:lang w:val="lv-LV"/>
        </w:rPr>
        <w:t xml:space="preserve">Hogue, T., Perkins, D., Clark, R., Bergstrum, A., Slinski, M., &amp; Associates Collaboration framework: </w:t>
      </w:r>
      <w:hyperlink r:id="rId22" w:history="1">
        <w:r w:rsidRPr="00AA6642">
          <w:rPr>
            <w:rStyle w:val="Hyperlink"/>
            <w:lang w:val="lv-LV"/>
          </w:rPr>
          <w:t>Addressing community capacity</w:t>
        </w:r>
      </w:hyperlink>
      <w:r w:rsidRPr="00AA6642">
        <w:rPr>
          <w:lang w:val="lv-LV"/>
        </w:rPr>
        <w:t xml:space="preserve">. Columbus, OH: National Network for Collaboration; 1995. </w:t>
      </w:r>
    </w:p>
    <w:p w:rsidR="00654F68" w:rsidRPr="00AA6642" w:rsidRDefault="00D279EE" w:rsidP="00984EDB">
      <w:pPr>
        <w:pStyle w:val="ListParagraph"/>
        <w:numPr>
          <w:ilvl w:val="0"/>
          <w:numId w:val="27"/>
        </w:numPr>
        <w:rPr>
          <w:lang w:val="lv-LV"/>
        </w:rPr>
      </w:pPr>
      <w:hyperlink r:id="rId23" w:history="1">
        <w:r w:rsidR="00654F68" w:rsidRPr="00AA6642">
          <w:rPr>
            <w:rStyle w:val="Hyperlink"/>
            <w:lang w:val="lv-LV"/>
          </w:rPr>
          <w:t>Indicators for monitoring the CRPD – side event during the 13</w:t>
        </w:r>
        <w:r w:rsidR="00654F68" w:rsidRPr="00AA6642">
          <w:rPr>
            <w:rStyle w:val="Hyperlink"/>
            <w:vertAlign w:val="superscript"/>
            <w:lang w:val="lv-LV"/>
          </w:rPr>
          <w:t>th</w:t>
        </w:r>
        <w:r w:rsidR="00654F68" w:rsidRPr="00AA6642">
          <w:rPr>
            <w:rStyle w:val="Hyperlink"/>
            <w:lang w:val="lv-LV"/>
          </w:rPr>
          <w:t>. session of the committee on the rights of persons with disabilities</w:t>
        </w:r>
      </w:hyperlink>
      <w:r w:rsidR="00654F68" w:rsidRPr="00AA6642">
        <w:rPr>
          <w:lang w:val="lv-LV"/>
        </w:rPr>
        <w:t xml:space="preserve"> </w:t>
      </w:r>
    </w:p>
    <w:p w:rsidR="00654F68" w:rsidRPr="00AA6642" w:rsidRDefault="00D279EE" w:rsidP="00984EDB">
      <w:pPr>
        <w:pStyle w:val="ListParagraph"/>
        <w:numPr>
          <w:ilvl w:val="0"/>
          <w:numId w:val="27"/>
        </w:numPr>
        <w:rPr>
          <w:lang w:val="lv-LV"/>
        </w:rPr>
      </w:pPr>
      <w:hyperlink r:id="rId24" w:history="1">
        <w:r w:rsidR="00654F68" w:rsidRPr="00AA6642">
          <w:rPr>
            <w:rStyle w:val="Hyperlink"/>
            <w:lang w:val="lv-LV"/>
          </w:rPr>
          <w:t>Make it easy – a guide to preparing easy to read information</w:t>
        </w:r>
      </w:hyperlink>
      <w:r w:rsidR="00654F68" w:rsidRPr="00AA6642">
        <w:rPr>
          <w:lang w:val="lv-LV"/>
        </w:rPr>
        <w:t xml:space="preserve"> </w:t>
      </w:r>
    </w:p>
    <w:p w:rsidR="00654F68" w:rsidRPr="00AA6642" w:rsidRDefault="00D279EE" w:rsidP="00984EDB">
      <w:pPr>
        <w:pStyle w:val="ListParagraph"/>
        <w:numPr>
          <w:ilvl w:val="0"/>
          <w:numId w:val="27"/>
        </w:numPr>
        <w:rPr>
          <w:lang w:val="lv-LV"/>
        </w:rPr>
      </w:pPr>
      <w:hyperlink r:id="rId25" w:history="1">
        <w:r w:rsidR="00654F68" w:rsidRPr="00AA6642">
          <w:rPr>
            <w:rStyle w:val="Hyperlink"/>
            <w:lang w:val="lv-LV"/>
          </w:rPr>
          <w:t>Report on the Implementation of the UNCRPD by the European Union</w:t>
        </w:r>
      </w:hyperlink>
      <w:r w:rsidR="00654F68" w:rsidRPr="00AA6642">
        <w:rPr>
          <w:lang w:val="lv-LV"/>
        </w:rPr>
        <w:t xml:space="preserve"> </w:t>
      </w:r>
    </w:p>
    <w:p w:rsidR="00654F68" w:rsidRPr="00AA6642" w:rsidRDefault="00D279EE" w:rsidP="00984EDB">
      <w:pPr>
        <w:pStyle w:val="ListParagraph"/>
        <w:numPr>
          <w:ilvl w:val="0"/>
          <w:numId w:val="27"/>
        </w:numPr>
        <w:rPr>
          <w:lang w:val="lv-LV"/>
        </w:rPr>
      </w:pPr>
      <w:hyperlink r:id="rId26" w:history="1">
        <w:r w:rsidR="00654F68" w:rsidRPr="00AA6642">
          <w:rPr>
            <w:rStyle w:val="Hyperlink"/>
            <w:lang w:val="lv-LV"/>
          </w:rPr>
          <w:t>Reports of the state parties to the UN</w:t>
        </w:r>
      </w:hyperlink>
      <w:r w:rsidR="00654F68" w:rsidRPr="00AA6642">
        <w:rPr>
          <w:lang w:val="lv-LV"/>
        </w:rPr>
        <w:t xml:space="preserve"> </w:t>
      </w:r>
    </w:p>
    <w:p w:rsidR="00654F68" w:rsidRPr="00AA6642" w:rsidRDefault="00D279EE" w:rsidP="00984EDB">
      <w:pPr>
        <w:pStyle w:val="ListParagraph"/>
        <w:numPr>
          <w:ilvl w:val="0"/>
          <w:numId w:val="27"/>
        </w:numPr>
        <w:rPr>
          <w:lang w:val="lv-LV"/>
        </w:rPr>
      </w:pPr>
      <w:hyperlink r:id="rId27" w:history="1">
        <w:r w:rsidR="00654F68" w:rsidRPr="00AA6642">
          <w:rPr>
            <w:rStyle w:val="Hyperlink"/>
            <w:lang w:val="lv-LV"/>
          </w:rPr>
          <w:t>The role of civil society in policy development</w:t>
        </w:r>
      </w:hyperlink>
      <w:r w:rsidR="00654F68" w:rsidRPr="00AA6642">
        <w:rPr>
          <w:lang w:val="lv-LV"/>
        </w:rPr>
        <w:t xml:space="preserve"> </w:t>
      </w:r>
    </w:p>
    <w:p w:rsidR="00654F68" w:rsidRPr="00AA6642" w:rsidRDefault="00654F68" w:rsidP="00984EDB">
      <w:pPr>
        <w:pStyle w:val="ListParagraph"/>
        <w:numPr>
          <w:ilvl w:val="0"/>
          <w:numId w:val="27"/>
        </w:numPr>
        <w:rPr>
          <w:lang w:val="lv-LV"/>
        </w:rPr>
      </w:pPr>
      <w:r w:rsidRPr="00AA6642">
        <w:rPr>
          <w:lang w:val="lv-LV"/>
        </w:rPr>
        <w:t xml:space="preserve"> </w:t>
      </w:r>
      <w:hyperlink r:id="rId28" w:history="1">
        <w:r w:rsidRPr="00AA6642">
          <w:rPr>
            <w:rStyle w:val="Hyperlink"/>
            <w:lang w:val="lv-LV"/>
          </w:rPr>
          <w:t xml:space="preserve">UN CRPD </w:t>
        </w:r>
      </w:hyperlink>
      <w:r w:rsidRPr="00AA6642">
        <w:rPr>
          <w:lang w:val="lv-LV"/>
        </w:rPr>
        <w:t>(article 8 “awareness raising” + article 32 “International cooperation” and article 9 “accessibility” – access to information)</w:t>
      </w:r>
    </w:p>
    <w:p w:rsidR="00654F68" w:rsidRPr="00AA6642" w:rsidRDefault="00D279EE" w:rsidP="00984EDB">
      <w:pPr>
        <w:pStyle w:val="ListParagraph"/>
        <w:numPr>
          <w:ilvl w:val="0"/>
          <w:numId w:val="27"/>
        </w:numPr>
        <w:rPr>
          <w:lang w:val="lv-LV"/>
        </w:rPr>
      </w:pPr>
      <w:hyperlink r:id="rId29" w:history="1">
        <w:r w:rsidR="00654F68" w:rsidRPr="00AA6642">
          <w:rPr>
            <w:rStyle w:val="Hyperlink"/>
            <w:lang w:val="lv-LV"/>
          </w:rPr>
          <w:t>United Nations Expert Group Meeting on Disability Data and Statistics, Monitoring and Evaluation: The Way Forward, a Disability Inclusive Development Agenda towards 2015 and Beyond</w:t>
        </w:r>
      </w:hyperlink>
      <w:r w:rsidR="00654F68" w:rsidRPr="00AA6642">
        <w:rPr>
          <w:lang w:val="lv-LV"/>
        </w:rPr>
        <w:t xml:space="preserve">. UNESCO Headquarters, Paris (8-10 July 2014) </w:t>
      </w:r>
    </w:p>
    <w:p w:rsidR="00654F68" w:rsidRPr="00AA6642" w:rsidRDefault="00D279EE" w:rsidP="00984EDB">
      <w:pPr>
        <w:pStyle w:val="ListParagraph"/>
        <w:numPr>
          <w:ilvl w:val="0"/>
          <w:numId w:val="27"/>
        </w:numPr>
        <w:rPr>
          <w:rStyle w:val="Hyperlink"/>
          <w:color w:val="404040" w:themeColor="text1" w:themeTint="BF"/>
          <w:u w:val="none"/>
          <w:lang w:val="lv-LV"/>
        </w:rPr>
      </w:pPr>
      <w:hyperlink r:id="rId30" w:history="1">
        <w:r w:rsidR="00654F68" w:rsidRPr="00AA6642">
          <w:rPr>
            <w:rStyle w:val="Hyperlink"/>
            <w:lang w:val="lv-LV"/>
          </w:rPr>
          <w:t>Web Content Accessibility Guidelines (WCAG)</w:t>
        </w:r>
      </w:hyperlink>
    </w:p>
    <w:p w:rsidR="00743516" w:rsidRPr="00AA6642" w:rsidRDefault="00DD33D9" w:rsidP="00DD6408">
      <w:pPr>
        <w:pStyle w:val="Title"/>
        <w:rPr>
          <w:bCs/>
          <w:lang w:val="lv-LV"/>
        </w:rPr>
      </w:pPr>
      <w:r w:rsidRPr="00AA6642">
        <w:rPr>
          <w:lang w:val="lv-LV"/>
        </w:rPr>
        <w:t>IZDALES BEIGAS</w:t>
      </w:r>
    </w:p>
    <w:sectPr w:rsidR="00743516" w:rsidRPr="00AA6642" w:rsidSect="00515CC0">
      <w:headerReference w:type="default" r:id="rId31"/>
      <w:footerReference w:type="default" r:id="rId32"/>
      <w:pgSz w:w="11906" w:h="16838"/>
      <w:pgMar w:top="1809" w:right="1418" w:bottom="1418" w:left="1418" w:header="709"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9EE" w:rsidRDefault="00D279EE" w:rsidP="00936B86">
      <w:r>
        <w:separator/>
      </w:r>
    </w:p>
  </w:endnote>
  <w:endnote w:type="continuationSeparator" w:id="0">
    <w:p w:rsidR="00D279EE" w:rsidRDefault="00D279EE" w:rsidP="0093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E6" w:rsidRPr="005437C6" w:rsidRDefault="00D279EE" w:rsidP="00DD6408">
    <w:pPr>
      <w:tabs>
        <w:tab w:val="center" w:pos="4536"/>
        <w:tab w:val="right" w:pos="9072"/>
      </w:tabs>
      <w:spacing w:after="0" w:line="240" w:lineRule="auto"/>
    </w:pPr>
    <w:r>
      <w:pict>
        <v:rect id="_x0000_i1025" style="width:0;height:1.5pt" o:hralign="center" o:hrstd="t" o:hr="t" fillcolor="#a0a0a0" stroked="f"/>
      </w:pict>
    </w:r>
  </w:p>
  <w:p w:rsidR="001D6AE6" w:rsidRPr="005437C6" w:rsidRDefault="00AA6642" w:rsidP="00DD6408">
    <w:pPr>
      <w:tabs>
        <w:tab w:val="center" w:pos="4536"/>
        <w:tab w:val="right" w:pos="9072"/>
      </w:tabs>
      <w:spacing w:after="0" w:line="240" w:lineRule="auto"/>
      <w:jc w:val="center"/>
      <w:rPr>
        <w:noProof/>
      </w:rPr>
    </w:pPr>
    <w:r>
      <w:fldChar w:fldCharType="begin"/>
    </w:r>
    <w:r>
      <w:instrText xml:space="preserve"> PAGE   \* MERGEFORMAT </w:instrText>
    </w:r>
    <w:r>
      <w:fldChar w:fldCharType="separate"/>
    </w:r>
    <w:r w:rsidR="00E814F8">
      <w:rPr>
        <w:noProof/>
      </w:rPr>
      <w:t>1</w:t>
    </w:r>
    <w:r>
      <w:rPr>
        <w:noProof/>
      </w:rPr>
      <w:fldChar w:fldCharType="end"/>
    </w:r>
  </w:p>
  <w:p w:rsidR="001D6AE6" w:rsidRPr="005437C6" w:rsidRDefault="00E814F8" w:rsidP="00DD6408">
    <w:pPr>
      <w:tabs>
        <w:tab w:val="center" w:pos="4536"/>
        <w:tab w:val="right" w:pos="9072"/>
      </w:tabs>
      <w:spacing w:after="0" w:line="240" w:lineRule="auto"/>
      <w:jc w:val="center"/>
    </w:pPr>
    <w:r>
      <w:rPr>
        <w:noProof/>
        <w:lang w:val="lv-LV" w:eastAsia="lv-LV"/>
      </w:rPr>
      <mc:AlternateContent>
        <mc:Choice Requires="wps">
          <w:drawing>
            <wp:inline distT="0" distB="0" distL="0" distR="0">
              <wp:extent cx="2440940" cy="472440"/>
              <wp:effectExtent l="0" t="0" r="0" b="38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472440"/>
                      </a:xfrm>
                      <a:prstGeom prst="bracketPair">
                        <a:avLst>
                          <a:gd name="adj" fmla="val 8051"/>
                        </a:avLst>
                      </a:prstGeom>
                      <a:noFill/>
                      <a:ln>
                        <a:noFill/>
                      </a:ln>
                      <a:effectLst/>
                      <a:extLst>
                        <a:ext uri="{909E8E84-426E-40DD-AFC4-6F175D3DCCD1}">
                          <a14:hiddenFill xmlns:a14="http://schemas.microsoft.com/office/drawing/2010/main">
                            <a:solidFill>
                              <a:srgbClr val="943634"/>
                            </a:solidFill>
                          </a14:hiddenFill>
                        </a:ex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14:hiddenEffects>
                        </a:ext>
                      </a:extLst>
                    </wps:spPr>
                    <wps:txbx>
                      <w:txbxContent>
                        <w:p w:rsidR="001D6AE6" w:rsidRPr="00D55B3D" w:rsidRDefault="001D6AE6" w:rsidP="00DD6408">
                          <w:pPr>
                            <w:spacing w:after="0" w:line="240" w:lineRule="auto"/>
                            <w:rPr>
                              <w:color w:val="7F7F7F" w:themeColor="text1" w:themeTint="80"/>
                              <w:lang w:val="en-US"/>
                            </w:rPr>
                          </w:pPr>
                          <w:r w:rsidRPr="00936B86">
                            <w:rPr>
                              <w:sz w:val="20"/>
                              <w:lang w:val="en-US"/>
                            </w:rPr>
                            <w:t>The Disability Leaders of Tomorrow Project</w:t>
                          </w:r>
                          <w:r>
                            <w:rPr>
                              <w:sz w:val="20"/>
                              <w:lang w:val="en-US"/>
                            </w:rPr>
                            <w:t xml:space="preserve"> </w:t>
                          </w:r>
                          <w:r w:rsidRPr="00936B86">
                            <w:rPr>
                              <w:sz w:val="20"/>
                              <w:lang w:val="en-US"/>
                            </w:rPr>
                            <w:t>(D</w:t>
                          </w:r>
                          <w:r>
                            <w:rPr>
                              <w:sz w:val="20"/>
                              <w:lang w:val="en-US"/>
                            </w:rPr>
                            <w:t xml:space="preserve"> LoT) is generously supported by</w:t>
                          </w:r>
                        </w:p>
                      </w:txbxContent>
                    </wps:txbx>
                    <wps:bodyPr rot="0" vert="horz" wrap="square" lIns="45720" tIns="45720" rIns="45720" bIns="4572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4" type="#_x0000_t185" style="width:192.2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" adj="1739" fillcolor="#943634" stroked="f" strokeweight="2pt">
              <v:textbox inset="3.6pt,,3.6pt">
                <w:txbxContent>
                  <w:p w:rsidR="001D6AE6" w:rsidRPr="00D55B3D" w:rsidRDefault="001D6AE6" w:rsidP="00DD6408">
                    <w:pPr>
                      <w:spacing w:after="0" w:line="240" w:lineRule="auto"/>
                      <w:rPr>
                        <w:color w:val="7F7F7F" w:themeColor="text1" w:themeTint="80"/>
                        <w:lang w:val="en-US"/>
                      </w:rPr>
                    </w:pPr>
                    <w:r w:rsidRPr="00936B86">
                      <w:rPr>
                        <w:sz w:val="20"/>
                        <w:lang w:val="en-US"/>
                      </w:rPr>
                      <w:t>The Disability Leaders of Tomorrow Project</w:t>
                    </w:r>
                    <w:r>
                      <w:rPr>
                        <w:sz w:val="20"/>
                        <w:lang w:val="en-US"/>
                      </w:rPr>
                      <w:t xml:space="preserve"> </w:t>
                    </w:r>
                    <w:r w:rsidRPr="00936B86">
                      <w:rPr>
                        <w:sz w:val="20"/>
                        <w:lang w:val="en-US"/>
                      </w:rPr>
                      <w:t>(D</w:t>
                    </w:r>
                    <w:r>
                      <w:rPr>
                        <w:sz w:val="20"/>
                        <w:lang w:val="en-US"/>
                      </w:rPr>
                      <w:t xml:space="preserve"> LoT) is generously supported by</w:t>
                    </w:r>
                  </w:p>
                </w:txbxContent>
              </v:textbox>
              <w10:anchorlock/>
            </v:shape>
          </w:pict>
        </mc:Fallback>
      </mc:AlternateContent>
    </w:r>
  </w:p>
  <w:p w:rsidR="001D6AE6" w:rsidRPr="0052572A" w:rsidRDefault="001D6AE6" w:rsidP="00936B86">
    <w:pPr>
      <w:pStyle w:val="Footer"/>
    </w:pPr>
    <w:r w:rsidRPr="00D55B3D">
      <w:rPr>
        <w:rFonts w:eastAsia="Calibri"/>
        <w:noProof/>
        <w:lang w:val="lv-LV" w:eastAsia="lv-LV"/>
      </w:rPr>
      <w:drawing>
        <wp:anchor distT="0" distB="0" distL="114300" distR="114300" simplePos="0" relativeHeight="251677696" behindDoc="1" locked="0" layoutInCell="1" allowOverlap="1">
          <wp:simplePos x="903605" y="10017125"/>
          <wp:positionH relativeFrom="column">
            <wp:align>center</wp:align>
          </wp:positionH>
          <wp:positionV relativeFrom="paragraph">
            <wp:posOffset>3810</wp:posOffset>
          </wp:positionV>
          <wp:extent cx="2268000" cy="223200"/>
          <wp:effectExtent l="0" t="0" r="0" b="5715"/>
          <wp:wrapTight wrapText="bothSides">
            <wp:wrapPolygon edited="0">
              <wp:start x="0" y="0"/>
              <wp:lineTo x="0" y="20308"/>
              <wp:lineTo x="21412" y="20308"/>
              <wp:lineTo x="214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cid:imageb2c4f1.JPG@b6e9c883.48aed16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68000" cy="2232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9EE" w:rsidRDefault="00D279EE" w:rsidP="00936B86">
      <w:r>
        <w:separator/>
      </w:r>
    </w:p>
  </w:footnote>
  <w:footnote w:type="continuationSeparator" w:id="0">
    <w:p w:rsidR="00D279EE" w:rsidRDefault="00D279EE" w:rsidP="00936B86">
      <w:r>
        <w:continuationSeparator/>
      </w:r>
    </w:p>
  </w:footnote>
  <w:footnote w:id="1">
    <w:p w:rsidR="001D6AE6" w:rsidRDefault="001D6AE6" w:rsidP="00936B86">
      <w:pPr>
        <w:pStyle w:val="FootnoteText"/>
      </w:pPr>
      <w:r>
        <w:rPr>
          <w:rStyle w:val="FootnoteReference"/>
        </w:rPr>
        <w:footnoteRef/>
      </w:r>
      <w:r>
        <w:t xml:space="preserve"> </w:t>
      </w:r>
      <w:r w:rsidRPr="001D006B">
        <w:t>See also handout of handicap international regional expertise program in the field of social services for people with disabilities / South Eastern Europe 2007 – 2009; introduction to module 6 „stakeholder`s cooperation and Information Systems in the field of services</w:t>
      </w:r>
      <w:r>
        <w:t xml:space="preserve"> for persons with disabilities“.</w:t>
      </w:r>
      <w:r w:rsidRPr="001D006B">
        <w:t xml:space="preserve"> </w:t>
      </w:r>
      <w:hyperlink r:id="rId1" w:history="1">
        <w:r w:rsidRPr="003A3871">
          <w:rPr>
            <w:rStyle w:val="Hyperlink"/>
          </w:rPr>
          <w:t>Link to handout</w:t>
        </w:r>
      </w:hyperlink>
    </w:p>
  </w:footnote>
  <w:footnote w:id="2">
    <w:p w:rsidR="001D6AE6" w:rsidRPr="00DE0267" w:rsidRDefault="001D6AE6" w:rsidP="00473BDA">
      <w:r>
        <w:rPr>
          <w:rStyle w:val="FootnoteReference"/>
        </w:rPr>
        <w:footnoteRef/>
      </w:r>
      <w:r>
        <w:t xml:space="preserve"> </w:t>
      </w:r>
      <w:r>
        <w:fldChar w:fldCharType="begin"/>
      </w:r>
      <w:r>
        <w:instrText xml:space="preserve"> HYPERLINK "http://www.easpd.eu/en/content/reaching-out-easpd-strategic-choices-2014-2017-building-inclusive-society" \l "sthash.MXUycPZT.dpuf" </w:instrText>
      </w:r>
      <w:r>
        <w:fldChar w:fldCharType="separate"/>
      </w:r>
      <w:r w:rsidRPr="00E711EC">
        <w:rPr>
          <w:rStyle w:val="Hyperlink"/>
        </w:rPr>
        <w:t xml:space="preserve">Link to </w:t>
      </w:r>
      <w:r w:rsidRPr="00DE0267">
        <w:t>The European Union and almost all Member States have signed and ratified the UN Convention on the Rights of Persons with Disabilities. This decision opens new pathways to inclusion and should make our societies more cohesive.</w:t>
      </w:r>
    </w:p>
    <w:p w:rsidR="001D6AE6" w:rsidRDefault="001D6AE6" w:rsidP="00936B86">
      <w:pPr>
        <w:pStyle w:val="FootnoteText"/>
      </w:pPr>
      <w:r w:rsidRPr="00E711EC">
        <w:rPr>
          <w:rStyle w:val="Hyperlink"/>
        </w:rPr>
        <w:t>Reaching out strategy – to build an inclusive society</w:t>
      </w:r>
      <w:r>
        <w:rPr>
          <w:rStyle w:val="Hyperlink"/>
        </w:rPr>
        <w:fldChar w:fldCharType="end"/>
      </w:r>
    </w:p>
  </w:footnote>
  <w:footnote w:id="3">
    <w:p w:rsidR="001D6AE6" w:rsidRPr="004533A1" w:rsidRDefault="001D6AE6" w:rsidP="00936B86">
      <w:pPr>
        <w:rPr>
          <w:rFonts w:eastAsia="Times New Roman"/>
          <w:lang w:eastAsia="en-GB"/>
        </w:rPr>
      </w:pPr>
      <w:r>
        <w:rPr>
          <w:rStyle w:val="FootnoteReference"/>
        </w:rPr>
        <w:footnoteRef/>
      </w:r>
      <w:r>
        <w:t xml:space="preserve"> </w:t>
      </w:r>
      <w:r w:rsidRPr="004533A1">
        <w:rPr>
          <w:rFonts w:eastAsia="Times New Roman"/>
          <w:lang w:eastAsia="en-GB"/>
        </w:rPr>
        <w:t>The Ethiopian Disability Action Network developed « Guidelines for Disability Data Co</w:t>
      </w:r>
      <w:r>
        <w:rPr>
          <w:rFonts w:eastAsia="Times New Roman"/>
          <w:lang w:eastAsia="en-GB"/>
        </w:rPr>
        <w:t>llection Tools and Measurement </w:t>
      </w:r>
      <w:r w:rsidRPr="004533A1">
        <w:rPr>
          <w:rFonts w:eastAsia="Times New Roman"/>
          <w:lang w:eastAsia="en-GB"/>
        </w:rPr>
        <w:t xml:space="preserve">», which is a comprehensive study on Data collection in the field. You find the link in the bibliography at the end of the handout. </w:t>
      </w:r>
    </w:p>
    <w:p w:rsidR="001D6AE6" w:rsidRPr="004533A1" w:rsidRDefault="001D6AE6" w:rsidP="00936B8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E6" w:rsidRDefault="001D6AE6" w:rsidP="00936B86">
    <w:pPr>
      <w:pStyle w:val="Header"/>
      <w:rPr>
        <w:noProof/>
        <w:lang w:eastAsia="en-GB"/>
      </w:rPr>
    </w:pPr>
    <w:r>
      <w:rPr>
        <w:noProof/>
        <w:lang w:val="lv-LV" w:eastAsia="lv-LV"/>
      </w:rPr>
      <w:drawing>
        <wp:anchor distT="0" distB="0" distL="114300" distR="114300" simplePos="0" relativeHeight="251675648" behindDoc="1" locked="0" layoutInCell="1" allowOverlap="1">
          <wp:simplePos x="0" y="0"/>
          <wp:positionH relativeFrom="rightMargin">
            <wp:align>right</wp:align>
          </wp:positionH>
          <wp:positionV relativeFrom="paragraph">
            <wp:posOffset>-398780</wp:posOffset>
          </wp:positionV>
          <wp:extent cx="1162800" cy="831600"/>
          <wp:effectExtent l="0" t="0" r="0" b="6985"/>
          <wp:wrapTight wrapText="bothSides">
            <wp:wrapPolygon edited="0">
              <wp:start x="12741" y="0"/>
              <wp:lineTo x="2123" y="5940"/>
              <wp:lineTo x="2123" y="18316"/>
              <wp:lineTo x="4601" y="20296"/>
              <wp:lineTo x="7432" y="21286"/>
              <wp:lineTo x="19465" y="21286"/>
              <wp:lineTo x="19819" y="8911"/>
              <wp:lineTo x="18403" y="6435"/>
              <wp:lineTo x="14510" y="0"/>
              <wp:lineTo x="12741" y="0"/>
            </wp:wrapPolygon>
          </wp:wrapTight>
          <wp:docPr id="6" name="Picture 6" descr="Logo of the European Association of Service providers for persons with Disabilities- D-LoT project prom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PD_LOGO_IMPROVING_SLOGAN_GIF_transparent.gif"/>
                  <pic:cNvPicPr/>
                </pic:nvPicPr>
                <pic:blipFill rotWithShape="1">
                  <a:blip r:embed="rId1">
                    <a:extLst>
                      <a:ext uri="{28A0092B-C50C-407E-A947-70E740481C1C}">
                        <a14:useLocalDpi xmlns:a14="http://schemas.microsoft.com/office/drawing/2010/main" val="0"/>
                      </a:ext>
                    </a:extLst>
                  </a:blip>
                  <a:srcRect t="12436" b="16321"/>
                  <a:stretch/>
                </pic:blipFill>
                <pic:spPr bwMode="auto">
                  <a:xfrm>
                    <a:off x="0" y="0"/>
                    <a:ext cx="1162800" cy="831600"/>
                  </a:xfrm>
                  <a:prstGeom prst="rect">
                    <a:avLst/>
                  </a:prstGeom>
                  <a:ln>
                    <a:noFill/>
                  </a:ln>
                  <a:effectLst>
                    <a:innerShdw blurRad="63500" dist="50800" dir="16200000">
                      <a:prstClr val="black">
                        <a:alpha val="50000"/>
                      </a:prstClr>
                    </a:innerShdw>
                  </a:effectLst>
                  <a:extLst>
                    <a:ext uri="{53640926-AAD7-44D8-BBD7-CCE9431645EC}">
                      <a14:shadowObscured xmlns:a14="http://schemas.microsoft.com/office/drawing/2010/main"/>
                    </a:ext>
                  </a:extLst>
                </pic:spPr>
              </pic:pic>
            </a:graphicData>
          </a:graphic>
        </wp:anchor>
      </w:drawing>
    </w:r>
    <w:r>
      <w:rPr>
        <w:noProof/>
        <w:lang w:val="lv-LV" w:eastAsia="lv-LV"/>
      </w:rPr>
      <w:drawing>
        <wp:anchor distT="0" distB="0" distL="114300" distR="114300" simplePos="0" relativeHeight="251674624" behindDoc="1" locked="0" layoutInCell="1" allowOverlap="1">
          <wp:simplePos x="0" y="0"/>
          <wp:positionH relativeFrom="leftMargin">
            <wp:align>left</wp:align>
          </wp:positionH>
          <wp:positionV relativeFrom="paragraph">
            <wp:posOffset>-398780</wp:posOffset>
          </wp:positionV>
          <wp:extent cx="1951200" cy="885600"/>
          <wp:effectExtent l="0" t="0" r="0" b="0"/>
          <wp:wrapTight wrapText="bothSides">
            <wp:wrapPolygon edited="0">
              <wp:start x="3797" y="0"/>
              <wp:lineTo x="422" y="2789"/>
              <wp:lineTo x="0" y="6973"/>
              <wp:lineTo x="844" y="7438"/>
              <wp:lineTo x="0" y="10692"/>
              <wp:lineTo x="0" y="12086"/>
              <wp:lineTo x="633" y="17664"/>
              <wp:lineTo x="2742" y="20918"/>
              <wp:lineTo x="4641" y="20918"/>
              <wp:lineTo x="5906" y="20918"/>
              <wp:lineTo x="16453" y="20918"/>
              <wp:lineTo x="21305" y="19059"/>
              <wp:lineTo x="21305" y="7438"/>
              <wp:lineTo x="20672" y="1395"/>
              <wp:lineTo x="4852" y="0"/>
              <wp:lineTo x="3797" y="0"/>
            </wp:wrapPolygon>
          </wp:wrapTight>
          <wp:docPr id="10" name="Picture 10" descr="Logo of the Disability Leaders of Tomorrow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T-logo-chosen-color-WEB.png"/>
                  <pic:cNvPicPr/>
                </pic:nvPicPr>
                <pic:blipFill>
                  <a:blip r:embed="rId2">
                    <a:extLst>
                      <a:ext uri="{28A0092B-C50C-407E-A947-70E740481C1C}">
                        <a14:useLocalDpi xmlns:a14="http://schemas.microsoft.com/office/drawing/2010/main" val="0"/>
                      </a:ext>
                    </a:extLst>
                  </a:blip>
                  <a:stretch>
                    <a:fillRect/>
                  </a:stretch>
                </pic:blipFill>
                <pic:spPr>
                  <a:xfrm>
                    <a:off x="0" y="0"/>
                    <a:ext cx="1951200" cy="885600"/>
                  </a:xfrm>
                  <a:prstGeom prst="rect">
                    <a:avLst/>
                  </a:prstGeom>
                  <a:ln>
                    <a:noFill/>
                  </a:ln>
                  <a:effectLst>
                    <a:innerShdw blurRad="63500" dist="50800" dir="16200000">
                      <a:prstClr val="black">
                        <a:alpha val="50000"/>
                      </a:prstClr>
                    </a:innerShdw>
                  </a:effectLst>
                </pic:spPr>
              </pic:pic>
            </a:graphicData>
          </a:graphic>
        </wp:anchor>
      </w:drawing>
    </w:r>
    <w:r>
      <w:rPr>
        <w:noProof/>
        <w:lang w:val="lv-LV" w:eastAsia="lv-LV"/>
      </w:rPr>
      <w:drawing>
        <wp:anchor distT="0" distB="0" distL="114300" distR="114300" simplePos="0" relativeHeight="251673600" behindDoc="1" locked="0" layoutInCell="1" allowOverlap="1">
          <wp:simplePos x="0" y="0"/>
          <wp:positionH relativeFrom="column">
            <wp:posOffset>-899795</wp:posOffset>
          </wp:positionH>
          <wp:positionV relativeFrom="paragraph">
            <wp:posOffset>-466725</wp:posOffset>
          </wp:positionV>
          <wp:extent cx="7571740" cy="1109345"/>
          <wp:effectExtent l="0" t="0" r="0" b="0"/>
          <wp:wrapTight wrapText="bothSides">
            <wp:wrapPolygon edited="0">
              <wp:start x="0" y="0"/>
              <wp:lineTo x="0" y="21143"/>
              <wp:lineTo x="6956" y="21143"/>
              <wp:lineTo x="21520" y="20772"/>
              <wp:lineTo x="2152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gradient.png"/>
                  <pic:cNvPicPr/>
                </pic:nvPicPr>
                <pic:blipFill>
                  <a:blip r:embed="rId3">
                    <a:extLst>
                      <a:ext uri="{28A0092B-C50C-407E-A947-70E740481C1C}">
                        <a14:useLocalDpi xmlns:a14="http://schemas.microsoft.com/office/drawing/2010/main" val="0"/>
                      </a:ext>
                    </a:extLst>
                  </a:blip>
                  <a:stretch>
                    <a:fillRect/>
                  </a:stretch>
                </pic:blipFill>
                <pic:spPr>
                  <a:xfrm>
                    <a:off x="0" y="0"/>
                    <a:ext cx="7571740" cy="1109345"/>
                  </a:xfrm>
                  <a:prstGeom prst="rect">
                    <a:avLst/>
                  </a:prstGeom>
                </pic:spPr>
              </pic:pic>
            </a:graphicData>
          </a:graphic>
        </wp:anchor>
      </w:drawing>
    </w:r>
  </w:p>
  <w:p w:rsidR="001D6AE6" w:rsidRPr="00041A5C" w:rsidRDefault="001D6AE6" w:rsidP="00936B86">
    <w:pPr>
      <w:pStyle w:val="Header"/>
    </w:pPr>
    <w:r>
      <w:rPr>
        <w:noProof/>
        <w:lang w:val="lv-LV" w:eastAsia="lv-LV"/>
      </w:rPr>
      <w:drawing>
        <wp:inline distT="0" distB="0" distL="0" distR="0">
          <wp:extent cx="5760720" cy="57899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PD_LOGO_IMPROVING_SLOGAN_GIF_transparent.gif"/>
                  <pic:cNvPicPr/>
                </pic:nvPicPr>
                <pic:blipFill>
                  <a:blip r:embed="rId1">
                    <a:extLst>
                      <a:ext uri="{28A0092B-C50C-407E-A947-70E740481C1C}">
                        <a14:useLocalDpi xmlns:a14="http://schemas.microsoft.com/office/drawing/2010/main" val="0"/>
                      </a:ext>
                    </a:extLst>
                  </a:blip>
                  <a:stretch>
                    <a:fillRect/>
                  </a:stretch>
                </pic:blipFill>
                <pic:spPr>
                  <a:xfrm>
                    <a:off x="0" y="0"/>
                    <a:ext cx="5760720" cy="5789930"/>
                  </a:xfrm>
                  <a:prstGeom prst="rect">
                    <a:avLst/>
                  </a:prstGeom>
                </pic:spPr>
              </pic:pic>
            </a:graphicData>
          </a:graphic>
        </wp:inline>
      </w:drawing>
    </w:r>
    <w:r>
      <w:rPr>
        <w:noProof/>
        <w:lang w:val="lv-LV" w:eastAsia="lv-LV"/>
      </w:rPr>
      <w:drawing>
        <wp:inline distT="0" distB="0" distL="0" distR="0">
          <wp:extent cx="5760720" cy="57899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PD_LOGO_IMPROVING_SLOGAN_PNG_transparent.png"/>
                  <pic:cNvPicPr/>
                </pic:nvPicPr>
                <pic:blipFill>
                  <a:blip r:embed="rId4">
                    <a:extLst>
                      <a:ext uri="{28A0092B-C50C-407E-A947-70E740481C1C}">
                        <a14:useLocalDpi xmlns:a14="http://schemas.microsoft.com/office/drawing/2010/main" val="0"/>
                      </a:ext>
                    </a:extLst>
                  </a:blip>
                  <a:stretch>
                    <a:fillRect/>
                  </a:stretch>
                </pic:blipFill>
                <pic:spPr>
                  <a:xfrm>
                    <a:off x="0" y="0"/>
                    <a:ext cx="5760720" cy="57899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118396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AC665A"/>
    <w:multiLevelType w:val="hybridMultilevel"/>
    <w:tmpl w:val="8CE475A6"/>
    <w:lvl w:ilvl="0" w:tplc="0C07000D">
      <w:start w:val="1"/>
      <w:numFmt w:val="bullet"/>
      <w:lvlText w:val=""/>
      <w:lvlJc w:val="left"/>
      <w:pPr>
        <w:tabs>
          <w:tab w:val="num" w:pos="720"/>
        </w:tabs>
        <w:ind w:left="720" w:hanging="360"/>
      </w:pPr>
      <w:rPr>
        <w:rFonts w:ascii="Wingdings" w:hAnsi="Wingdings" w:hint="default"/>
      </w:rPr>
    </w:lvl>
    <w:lvl w:ilvl="1" w:tplc="C248DBCC">
      <w:start w:val="1"/>
      <w:numFmt w:val="bullet"/>
      <w:lvlText w:val=""/>
      <w:lvlJc w:val="left"/>
      <w:pPr>
        <w:tabs>
          <w:tab w:val="num" w:pos="1440"/>
        </w:tabs>
        <w:ind w:left="1440" w:hanging="360"/>
      </w:pPr>
      <w:rPr>
        <w:rFonts w:ascii="Wingdings" w:hAnsi="Wingdings" w:hint="default"/>
      </w:rPr>
    </w:lvl>
    <w:lvl w:ilvl="2" w:tplc="C15C9CE6">
      <w:start w:val="1"/>
      <w:numFmt w:val="bullet"/>
      <w:lvlText w:val=""/>
      <w:lvlJc w:val="left"/>
      <w:pPr>
        <w:tabs>
          <w:tab w:val="num" w:pos="2160"/>
        </w:tabs>
        <w:ind w:left="2160" w:hanging="360"/>
      </w:pPr>
      <w:rPr>
        <w:rFonts w:ascii="Wingdings" w:hAnsi="Wingdings" w:hint="default"/>
      </w:rPr>
    </w:lvl>
    <w:lvl w:ilvl="3" w:tplc="935CA0CE" w:tentative="1">
      <w:start w:val="1"/>
      <w:numFmt w:val="bullet"/>
      <w:lvlText w:val=""/>
      <w:lvlJc w:val="left"/>
      <w:pPr>
        <w:tabs>
          <w:tab w:val="num" w:pos="2880"/>
        </w:tabs>
        <w:ind w:left="2880" w:hanging="360"/>
      </w:pPr>
      <w:rPr>
        <w:rFonts w:ascii="Wingdings" w:hAnsi="Wingdings" w:hint="default"/>
      </w:rPr>
    </w:lvl>
    <w:lvl w:ilvl="4" w:tplc="6C94FADA" w:tentative="1">
      <w:start w:val="1"/>
      <w:numFmt w:val="bullet"/>
      <w:lvlText w:val=""/>
      <w:lvlJc w:val="left"/>
      <w:pPr>
        <w:tabs>
          <w:tab w:val="num" w:pos="3600"/>
        </w:tabs>
        <w:ind w:left="3600" w:hanging="360"/>
      </w:pPr>
      <w:rPr>
        <w:rFonts w:ascii="Wingdings" w:hAnsi="Wingdings" w:hint="default"/>
      </w:rPr>
    </w:lvl>
    <w:lvl w:ilvl="5" w:tplc="1EE233D4" w:tentative="1">
      <w:start w:val="1"/>
      <w:numFmt w:val="bullet"/>
      <w:lvlText w:val=""/>
      <w:lvlJc w:val="left"/>
      <w:pPr>
        <w:tabs>
          <w:tab w:val="num" w:pos="4320"/>
        </w:tabs>
        <w:ind w:left="4320" w:hanging="360"/>
      </w:pPr>
      <w:rPr>
        <w:rFonts w:ascii="Wingdings" w:hAnsi="Wingdings" w:hint="default"/>
      </w:rPr>
    </w:lvl>
    <w:lvl w:ilvl="6" w:tplc="BC769936" w:tentative="1">
      <w:start w:val="1"/>
      <w:numFmt w:val="bullet"/>
      <w:lvlText w:val=""/>
      <w:lvlJc w:val="left"/>
      <w:pPr>
        <w:tabs>
          <w:tab w:val="num" w:pos="5040"/>
        </w:tabs>
        <w:ind w:left="5040" w:hanging="360"/>
      </w:pPr>
      <w:rPr>
        <w:rFonts w:ascii="Wingdings" w:hAnsi="Wingdings" w:hint="default"/>
      </w:rPr>
    </w:lvl>
    <w:lvl w:ilvl="7" w:tplc="3BB270E4" w:tentative="1">
      <w:start w:val="1"/>
      <w:numFmt w:val="bullet"/>
      <w:lvlText w:val=""/>
      <w:lvlJc w:val="left"/>
      <w:pPr>
        <w:tabs>
          <w:tab w:val="num" w:pos="5760"/>
        </w:tabs>
        <w:ind w:left="5760" w:hanging="360"/>
      </w:pPr>
      <w:rPr>
        <w:rFonts w:ascii="Wingdings" w:hAnsi="Wingdings" w:hint="default"/>
      </w:rPr>
    </w:lvl>
    <w:lvl w:ilvl="8" w:tplc="580A05CA" w:tentative="1">
      <w:start w:val="1"/>
      <w:numFmt w:val="bullet"/>
      <w:lvlText w:val=""/>
      <w:lvlJc w:val="left"/>
      <w:pPr>
        <w:tabs>
          <w:tab w:val="num" w:pos="6480"/>
        </w:tabs>
        <w:ind w:left="6480" w:hanging="360"/>
      </w:pPr>
      <w:rPr>
        <w:rFonts w:ascii="Wingdings" w:hAnsi="Wingdings" w:hint="default"/>
      </w:rPr>
    </w:lvl>
  </w:abstractNum>
  <w:abstractNum w:abstractNumId="2">
    <w:nsid w:val="01C91B33"/>
    <w:multiLevelType w:val="hybridMultilevel"/>
    <w:tmpl w:val="36EAFAB0"/>
    <w:lvl w:ilvl="0" w:tplc="D06C4716">
      <w:start w:val="1"/>
      <w:numFmt w:val="bullet"/>
      <w:lvlText w:val=""/>
      <w:lvlJc w:val="left"/>
      <w:pPr>
        <w:tabs>
          <w:tab w:val="num" w:pos="123"/>
        </w:tabs>
        <w:ind w:left="123" w:hanging="360"/>
      </w:pPr>
      <w:rPr>
        <w:rFonts w:ascii="Wingdings" w:hAnsi="Wingdings" w:hint="default"/>
      </w:rPr>
    </w:lvl>
    <w:lvl w:ilvl="1" w:tplc="69F08412">
      <w:start w:val="1"/>
      <w:numFmt w:val="bullet"/>
      <w:lvlText w:val=""/>
      <w:lvlJc w:val="left"/>
      <w:pPr>
        <w:tabs>
          <w:tab w:val="num" w:pos="843"/>
        </w:tabs>
        <w:ind w:left="843" w:hanging="360"/>
      </w:pPr>
      <w:rPr>
        <w:rFonts w:ascii="Wingdings" w:hAnsi="Wingdings" w:hint="default"/>
      </w:rPr>
    </w:lvl>
    <w:lvl w:ilvl="2" w:tplc="3C04CF58">
      <w:start w:val="1"/>
      <w:numFmt w:val="bullet"/>
      <w:lvlText w:val=""/>
      <w:lvlJc w:val="left"/>
      <w:pPr>
        <w:tabs>
          <w:tab w:val="num" w:pos="1563"/>
        </w:tabs>
        <w:ind w:left="1563" w:hanging="360"/>
      </w:pPr>
      <w:rPr>
        <w:rFonts w:ascii="Wingdings" w:hAnsi="Wingdings" w:hint="default"/>
      </w:rPr>
    </w:lvl>
    <w:lvl w:ilvl="3" w:tplc="025269A0" w:tentative="1">
      <w:start w:val="1"/>
      <w:numFmt w:val="bullet"/>
      <w:lvlText w:val=""/>
      <w:lvlJc w:val="left"/>
      <w:pPr>
        <w:tabs>
          <w:tab w:val="num" w:pos="2283"/>
        </w:tabs>
        <w:ind w:left="2283" w:hanging="360"/>
      </w:pPr>
      <w:rPr>
        <w:rFonts w:ascii="Wingdings" w:hAnsi="Wingdings" w:hint="default"/>
      </w:rPr>
    </w:lvl>
    <w:lvl w:ilvl="4" w:tplc="7FD0B0A6" w:tentative="1">
      <w:start w:val="1"/>
      <w:numFmt w:val="bullet"/>
      <w:lvlText w:val=""/>
      <w:lvlJc w:val="left"/>
      <w:pPr>
        <w:tabs>
          <w:tab w:val="num" w:pos="3003"/>
        </w:tabs>
        <w:ind w:left="3003" w:hanging="360"/>
      </w:pPr>
      <w:rPr>
        <w:rFonts w:ascii="Wingdings" w:hAnsi="Wingdings" w:hint="default"/>
      </w:rPr>
    </w:lvl>
    <w:lvl w:ilvl="5" w:tplc="846E04F4" w:tentative="1">
      <w:start w:val="1"/>
      <w:numFmt w:val="bullet"/>
      <w:lvlText w:val=""/>
      <w:lvlJc w:val="left"/>
      <w:pPr>
        <w:tabs>
          <w:tab w:val="num" w:pos="3723"/>
        </w:tabs>
        <w:ind w:left="3723" w:hanging="360"/>
      </w:pPr>
      <w:rPr>
        <w:rFonts w:ascii="Wingdings" w:hAnsi="Wingdings" w:hint="default"/>
      </w:rPr>
    </w:lvl>
    <w:lvl w:ilvl="6" w:tplc="4054237C" w:tentative="1">
      <w:start w:val="1"/>
      <w:numFmt w:val="bullet"/>
      <w:lvlText w:val=""/>
      <w:lvlJc w:val="left"/>
      <w:pPr>
        <w:tabs>
          <w:tab w:val="num" w:pos="4443"/>
        </w:tabs>
        <w:ind w:left="4443" w:hanging="360"/>
      </w:pPr>
      <w:rPr>
        <w:rFonts w:ascii="Wingdings" w:hAnsi="Wingdings" w:hint="default"/>
      </w:rPr>
    </w:lvl>
    <w:lvl w:ilvl="7" w:tplc="9FD09B58" w:tentative="1">
      <w:start w:val="1"/>
      <w:numFmt w:val="bullet"/>
      <w:lvlText w:val=""/>
      <w:lvlJc w:val="left"/>
      <w:pPr>
        <w:tabs>
          <w:tab w:val="num" w:pos="5163"/>
        </w:tabs>
        <w:ind w:left="5163" w:hanging="360"/>
      </w:pPr>
      <w:rPr>
        <w:rFonts w:ascii="Wingdings" w:hAnsi="Wingdings" w:hint="default"/>
      </w:rPr>
    </w:lvl>
    <w:lvl w:ilvl="8" w:tplc="089A5978" w:tentative="1">
      <w:start w:val="1"/>
      <w:numFmt w:val="bullet"/>
      <w:lvlText w:val=""/>
      <w:lvlJc w:val="left"/>
      <w:pPr>
        <w:tabs>
          <w:tab w:val="num" w:pos="5883"/>
        </w:tabs>
        <w:ind w:left="5883" w:hanging="360"/>
      </w:pPr>
      <w:rPr>
        <w:rFonts w:ascii="Wingdings" w:hAnsi="Wingdings" w:hint="default"/>
      </w:rPr>
    </w:lvl>
  </w:abstractNum>
  <w:abstractNum w:abstractNumId="3">
    <w:nsid w:val="03B01402"/>
    <w:multiLevelType w:val="hybridMultilevel"/>
    <w:tmpl w:val="80629418"/>
    <w:lvl w:ilvl="0" w:tplc="0C07000D">
      <w:start w:val="1"/>
      <w:numFmt w:val="bullet"/>
      <w:lvlText w:val=""/>
      <w:lvlJc w:val="left"/>
      <w:pPr>
        <w:ind w:left="1068" w:hanging="360"/>
      </w:pPr>
      <w:rPr>
        <w:rFonts w:ascii="Wingdings" w:hAnsi="Wingding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4">
    <w:nsid w:val="06C31C86"/>
    <w:multiLevelType w:val="hybridMultilevel"/>
    <w:tmpl w:val="D7D24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5408E6"/>
    <w:multiLevelType w:val="hybridMultilevel"/>
    <w:tmpl w:val="2A64CC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0760D4"/>
    <w:multiLevelType w:val="hybridMultilevel"/>
    <w:tmpl w:val="E39ED62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nsid w:val="100303E4"/>
    <w:multiLevelType w:val="hybridMultilevel"/>
    <w:tmpl w:val="4432BC28"/>
    <w:lvl w:ilvl="0" w:tplc="080C0015">
      <w:start w:val="1"/>
      <w:numFmt w:val="upp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48D2A58"/>
    <w:multiLevelType w:val="hybridMultilevel"/>
    <w:tmpl w:val="3AAAE1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335B3B"/>
    <w:multiLevelType w:val="hybridMultilevel"/>
    <w:tmpl w:val="48EC1C66"/>
    <w:lvl w:ilvl="0" w:tplc="AA2A848A">
      <w:start w:val="2"/>
      <w:numFmt w:val="bullet"/>
      <w:lvlText w:val="-"/>
      <w:lvlJc w:val="left"/>
      <w:pPr>
        <w:ind w:left="720" w:hanging="360"/>
      </w:pPr>
      <w:rPr>
        <w:rFonts w:ascii="Cambria" w:eastAsia="Times New Roman" w:hAnsi="Cambria"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8A6332"/>
    <w:multiLevelType w:val="hybridMultilevel"/>
    <w:tmpl w:val="7FE04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7C0FCA"/>
    <w:multiLevelType w:val="hybridMultilevel"/>
    <w:tmpl w:val="A00C5C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E1145E"/>
    <w:multiLevelType w:val="hybridMultilevel"/>
    <w:tmpl w:val="34DAF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713B74"/>
    <w:multiLevelType w:val="hybridMultilevel"/>
    <w:tmpl w:val="397A848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21196B71"/>
    <w:multiLevelType w:val="hybridMultilevel"/>
    <w:tmpl w:val="5DAABD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033BD1"/>
    <w:multiLevelType w:val="hybridMultilevel"/>
    <w:tmpl w:val="EE62DB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A9715A4"/>
    <w:multiLevelType w:val="hybridMultilevel"/>
    <w:tmpl w:val="D832A3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9C4C47"/>
    <w:multiLevelType w:val="hybridMultilevel"/>
    <w:tmpl w:val="59A8D46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F977DA"/>
    <w:multiLevelType w:val="hybridMultilevel"/>
    <w:tmpl w:val="4CA842A6"/>
    <w:lvl w:ilvl="0" w:tplc="0C07000B">
      <w:start w:val="1"/>
      <w:numFmt w:val="bullet"/>
      <w:lvlText w:val=""/>
      <w:lvlJc w:val="left"/>
      <w:pPr>
        <w:tabs>
          <w:tab w:val="num" w:pos="720"/>
        </w:tabs>
        <w:ind w:left="720" w:hanging="360"/>
      </w:pPr>
      <w:rPr>
        <w:rFonts w:ascii="Wingdings" w:hAnsi="Wingdings" w:hint="default"/>
      </w:rPr>
    </w:lvl>
    <w:lvl w:ilvl="1" w:tplc="02C21836">
      <w:start w:val="1"/>
      <w:numFmt w:val="bullet"/>
      <w:lvlText w:val=""/>
      <w:lvlJc w:val="left"/>
      <w:pPr>
        <w:tabs>
          <w:tab w:val="num" w:pos="1440"/>
        </w:tabs>
        <w:ind w:left="1440" w:hanging="360"/>
      </w:pPr>
      <w:rPr>
        <w:rFonts w:ascii="Wingdings" w:hAnsi="Wingdings" w:hint="default"/>
      </w:rPr>
    </w:lvl>
    <w:lvl w:ilvl="2" w:tplc="45067C80" w:tentative="1">
      <w:start w:val="1"/>
      <w:numFmt w:val="bullet"/>
      <w:lvlText w:val=""/>
      <w:lvlJc w:val="left"/>
      <w:pPr>
        <w:tabs>
          <w:tab w:val="num" w:pos="2160"/>
        </w:tabs>
        <w:ind w:left="2160" w:hanging="360"/>
      </w:pPr>
      <w:rPr>
        <w:rFonts w:ascii="Wingdings" w:hAnsi="Wingdings" w:hint="default"/>
      </w:rPr>
    </w:lvl>
    <w:lvl w:ilvl="3" w:tplc="DAE41E4E" w:tentative="1">
      <w:start w:val="1"/>
      <w:numFmt w:val="bullet"/>
      <w:lvlText w:val=""/>
      <w:lvlJc w:val="left"/>
      <w:pPr>
        <w:tabs>
          <w:tab w:val="num" w:pos="2880"/>
        </w:tabs>
        <w:ind w:left="2880" w:hanging="360"/>
      </w:pPr>
      <w:rPr>
        <w:rFonts w:ascii="Wingdings" w:hAnsi="Wingdings" w:hint="default"/>
      </w:rPr>
    </w:lvl>
    <w:lvl w:ilvl="4" w:tplc="E91EAD52" w:tentative="1">
      <w:start w:val="1"/>
      <w:numFmt w:val="bullet"/>
      <w:lvlText w:val=""/>
      <w:lvlJc w:val="left"/>
      <w:pPr>
        <w:tabs>
          <w:tab w:val="num" w:pos="3600"/>
        </w:tabs>
        <w:ind w:left="3600" w:hanging="360"/>
      </w:pPr>
      <w:rPr>
        <w:rFonts w:ascii="Wingdings" w:hAnsi="Wingdings" w:hint="default"/>
      </w:rPr>
    </w:lvl>
    <w:lvl w:ilvl="5" w:tplc="D45ED43E" w:tentative="1">
      <w:start w:val="1"/>
      <w:numFmt w:val="bullet"/>
      <w:lvlText w:val=""/>
      <w:lvlJc w:val="left"/>
      <w:pPr>
        <w:tabs>
          <w:tab w:val="num" w:pos="4320"/>
        </w:tabs>
        <w:ind w:left="4320" w:hanging="360"/>
      </w:pPr>
      <w:rPr>
        <w:rFonts w:ascii="Wingdings" w:hAnsi="Wingdings" w:hint="default"/>
      </w:rPr>
    </w:lvl>
    <w:lvl w:ilvl="6" w:tplc="0DC24B62" w:tentative="1">
      <w:start w:val="1"/>
      <w:numFmt w:val="bullet"/>
      <w:lvlText w:val=""/>
      <w:lvlJc w:val="left"/>
      <w:pPr>
        <w:tabs>
          <w:tab w:val="num" w:pos="5040"/>
        </w:tabs>
        <w:ind w:left="5040" w:hanging="360"/>
      </w:pPr>
      <w:rPr>
        <w:rFonts w:ascii="Wingdings" w:hAnsi="Wingdings" w:hint="default"/>
      </w:rPr>
    </w:lvl>
    <w:lvl w:ilvl="7" w:tplc="6298C6B6" w:tentative="1">
      <w:start w:val="1"/>
      <w:numFmt w:val="bullet"/>
      <w:lvlText w:val=""/>
      <w:lvlJc w:val="left"/>
      <w:pPr>
        <w:tabs>
          <w:tab w:val="num" w:pos="5760"/>
        </w:tabs>
        <w:ind w:left="5760" w:hanging="360"/>
      </w:pPr>
      <w:rPr>
        <w:rFonts w:ascii="Wingdings" w:hAnsi="Wingdings" w:hint="default"/>
      </w:rPr>
    </w:lvl>
    <w:lvl w:ilvl="8" w:tplc="C72EC664" w:tentative="1">
      <w:start w:val="1"/>
      <w:numFmt w:val="bullet"/>
      <w:lvlText w:val=""/>
      <w:lvlJc w:val="left"/>
      <w:pPr>
        <w:tabs>
          <w:tab w:val="num" w:pos="6480"/>
        </w:tabs>
        <w:ind w:left="6480" w:hanging="360"/>
      </w:pPr>
      <w:rPr>
        <w:rFonts w:ascii="Wingdings" w:hAnsi="Wingdings" w:hint="default"/>
      </w:rPr>
    </w:lvl>
  </w:abstractNum>
  <w:abstractNum w:abstractNumId="19">
    <w:nsid w:val="34BC51FB"/>
    <w:multiLevelType w:val="hybridMultilevel"/>
    <w:tmpl w:val="B20E7AC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38915345"/>
    <w:multiLevelType w:val="hybridMultilevel"/>
    <w:tmpl w:val="9558E4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017B3F"/>
    <w:multiLevelType w:val="hybridMultilevel"/>
    <w:tmpl w:val="C20CC4F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57264F1"/>
    <w:multiLevelType w:val="multilevel"/>
    <w:tmpl w:val="91420984"/>
    <w:lvl w:ilvl="0">
      <w:start w:val="1"/>
      <w:numFmt w:val="decimal"/>
      <w:pStyle w:val="Style1"/>
      <w:lvlText w:val="%1."/>
      <w:lvlJc w:val="left"/>
      <w:pPr>
        <w:ind w:left="360" w:hanging="360"/>
      </w:pPr>
      <w:rPr>
        <w:rFonts w:hint="default"/>
      </w:rPr>
    </w:lvl>
    <w:lvl w:ilvl="1">
      <w:start w:val="1"/>
      <w:numFmt w:val="decimal"/>
      <w:pStyle w:val="Styl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460C0861"/>
    <w:multiLevelType w:val="hybridMultilevel"/>
    <w:tmpl w:val="2306009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BF1D49"/>
    <w:multiLevelType w:val="hybridMultilevel"/>
    <w:tmpl w:val="61E4CE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A75A84"/>
    <w:multiLevelType w:val="hybridMultilevel"/>
    <w:tmpl w:val="872C243C"/>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51CB2759"/>
    <w:multiLevelType w:val="hybridMultilevel"/>
    <w:tmpl w:val="90B28CE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nsid w:val="53CB661A"/>
    <w:multiLevelType w:val="hybridMultilevel"/>
    <w:tmpl w:val="7E249F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3167F7"/>
    <w:multiLevelType w:val="hybridMultilevel"/>
    <w:tmpl w:val="8F86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AD2CBF"/>
    <w:multiLevelType w:val="hybridMultilevel"/>
    <w:tmpl w:val="9EEC69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DC3C31"/>
    <w:multiLevelType w:val="hybridMultilevel"/>
    <w:tmpl w:val="E0469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143AEC"/>
    <w:multiLevelType w:val="hybridMultilevel"/>
    <w:tmpl w:val="6134A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29B71CD"/>
    <w:multiLevelType w:val="hybridMultilevel"/>
    <w:tmpl w:val="137E1A28"/>
    <w:lvl w:ilvl="0" w:tplc="0809000B">
      <w:start w:val="1"/>
      <w:numFmt w:val="bullet"/>
      <w:lvlText w:val=""/>
      <w:lvlJc w:val="left"/>
      <w:pPr>
        <w:tabs>
          <w:tab w:val="num" w:pos="720"/>
        </w:tabs>
        <w:ind w:left="720" w:hanging="360"/>
      </w:pPr>
      <w:rPr>
        <w:rFonts w:ascii="Wingdings" w:hAnsi="Wingdings" w:hint="default"/>
      </w:rPr>
    </w:lvl>
    <w:lvl w:ilvl="1" w:tplc="27006F04">
      <w:start w:val="1"/>
      <w:numFmt w:val="bullet"/>
      <w:lvlText w:val="–"/>
      <w:lvlJc w:val="left"/>
      <w:pPr>
        <w:tabs>
          <w:tab w:val="num" w:pos="1440"/>
        </w:tabs>
        <w:ind w:left="1440" w:hanging="360"/>
      </w:pPr>
      <w:rPr>
        <w:rFonts w:ascii="Arial" w:hAnsi="Arial" w:hint="default"/>
      </w:rPr>
    </w:lvl>
    <w:lvl w:ilvl="2" w:tplc="54803E42" w:tentative="1">
      <w:start w:val="1"/>
      <w:numFmt w:val="bullet"/>
      <w:lvlText w:val="–"/>
      <w:lvlJc w:val="left"/>
      <w:pPr>
        <w:tabs>
          <w:tab w:val="num" w:pos="2160"/>
        </w:tabs>
        <w:ind w:left="2160" w:hanging="360"/>
      </w:pPr>
      <w:rPr>
        <w:rFonts w:ascii="Arial" w:hAnsi="Arial" w:hint="default"/>
      </w:rPr>
    </w:lvl>
    <w:lvl w:ilvl="3" w:tplc="F822C212" w:tentative="1">
      <w:start w:val="1"/>
      <w:numFmt w:val="bullet"/>
      <w:lvlText w:val="–"/>
      <w:lvlJc w:val="left"/>
      <w:pPr>
        <w:tabs>
          <w:tab w:val="num" w:pos="2880"/>
        </w:tabs>
        <w:ind w:left="2880" w:hanging="360"/>
      </w:pPr>
      <w:rPr>
        <w:rFonts w:ascii="Arial" w:hAnsi="Arial" w:hint="default"/>
      </w:rPr>
    </w:lvl>
    <w:lvl w:ilvl="4" w:tplc="CADC0E5C" w:tentative="1">
      <w:start w:val="1"/>
      <w:numFmt w:val="bullet"/>
      <w:lvlText w:val="–"/>
      <w:lvlJc w:val="left"/>
      <w:pPr>
        <w:tabs>
          <w:tab w:val="num" w:pos="3600"/>
        </w:tabs>
        <w:ind w:left="3600" w:hanging="360"/>
      </w:pPr>
      <w:rPr>
        <w:rFonts w:ascii="Arial" w:hAnsi="Arial" w:hint="default"/>
      </w:rPr>
    </w:lvl>
    <w:lvl w:ilvl="5" w:tplc="61BA7572" w:tentative="1">
      <w:start w:val="1"/>
      <w:numFmt w:val="bullet"/>
      <w:lvlText w:val="–"/>
      <w:lvlJc w:val="left"/>
      <w:pPr>
        <w:tabs>
          <w:tab w:val="num" w:pos="4320"/>
        </w:tabs>
        <w:ind w:left="4320" w:hanging="360"/>
      </w:pPr>
      <w:rPr>
        <w:rFonts w:ascii="Arial" w:hAnsi="Arial" w:hint="default"/>
      </w:rPr>
    </w:lvl>
    <w:lvl w:ilvl="6" w:tplc="2A486692" w:tentative="1">
      <w:start w:val="1"/>
      <w:numFmt w:val="bullet"/>
      <w:lvlText w:val="–"/>
      <w:lvlJc w:val="left"/>
      <w:pPr>
        <w:tabs>
          <w:tab w:val="num" w:pos="5040"/>
        </w:tabs>
        <w:ind w:left="5040" w:hanging="360"/>
      </w:pPr>
      <w:rPr>
        <w:rFonts w:ascii="Arial" w:hAnsi="Arial" w:hint="default"/>
      </w:rPr>
    </w:lvl>
    <w:lvl w:ilvl="7" w:tplc="6A32706E" w:tentative="1">
      <w:start w:val="1"/>
      <w:numFmt w:val="bullet"/>
      <w:lvlText w:val="–"/>
      <w:lvlJc w:val="left"/>
      <w:pPr>
        <w:tabs>
          <w:tab w:val="num" w:pos="5760"/>
        </w:tabs>
        <w:ind w:left="5760" w:hanging="360"/>
      </w:pPr>
      <w:rPr>
        <w:rFonts w:ascii="Arial" w:hAnsi="Arial" w:hint="default"/>
      </w:rPr>
    </w:lvl>
    <w:lvl w:ilvl="8" w:tplc="870656F0" w:tentative="1">
      <w:start w:val="1"/>
      <w:numFmt w:val="bullet"/>
      <w:lvlText w:val="–"/>
      <w:lvlJc w:val="left"/>
      <w:pPr>
        <w:tabs>
          <w:tab w:val="num" w:pos="6480"/>
        </w:tabs>
        <w:ind w:left="6480" w:hanging="360"/>
      </w:pPr>
      <w:rPr>
        <w:rFonts w:ascii="Arial" w:hAnsi="Arial" w:hint="default"/>
      </w:rPr>
    </w:lvl>
  </w:abstractNum>
  <w:abstractNum w:abstractNumId="33">
    <w:nsid w:val="768E0145"/>
    <w:multiLevelType w:val="hybridMultilevel"/>
    <w:tmpl w:val="B302F192"/>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4">
    <w:nsid w:val="7C3259AE"/>
    <w:multiLevelType w:val="hybridMultilevel"/>
    <w:tmpl w:val="8ECEE844"/>
    <w:lvl w:ilvl="0" w:tplc="96022F9E">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7E78173B"/>
    <w:multiLevelType w:val="hybridMultilevel"/>
    <w:tmpl w:val="D62CDCE8"/>
    <w:lvl w:ilvl="0" w:tplc="2F6E0BE0">
      <w:start w:val="1"/>
      <w:numFmt w:val="decimal"/>
      <w:lvlText w:val="%1."/>
      <w:lvlJc w:val="left"/>
      <w:pPr>
        <w:tabs>
          <w:tab w:val="num" w:pos="720"/>
        </w:tabs>
        <w:ind w:left="720" w:hanging="360"/>
      </w:pPr>
    </w:lvl>
    <w:lvl w:ilvl="1" w:tplc="EA10089A">
      <w:start w:val="1"/>
      <w:numFmt w:val="decimal"/>
      <w:lvlText w:val="%2."/>
      <w:lvlJc w:val="left"/>
      <w:pPr>
        <w:tabs>
          <w:tab w:val="num" w:pos="1440"/>
        </w:tabs>
        <w:ind w:left="1440" w:hanging="360"/>
      </w:pPr>
    </w:lvl>
    <w:lvl w:ilvl="2" w:tplc="7954ED26">
      <w:start w:val="1"/>
      <w:numFmt w:val="decimal"/>
      <w:lvlText w:val="%3."/>
      <w:lvlJc w:val="left"/>
      <w:pPr>
        <w:tabs>
          <w:tab w:val="num" w:pos="2160"/>
        </w:tabs>
        <w:ind w:left="2160" w:hanging="360"/>
      </w:pPr>
    </w:lvl>
    <w:lvl w:ilvl="3" w:tplc="92D69B6C" w:tentative="1">
      <w:start w:val="1"/>
      <w:numFmt w:val="decimal"/>
      <w:lvlText w:val="%4."/>
      <w:lvlJc w:val="left"/>
      <w:pPr>
        <w:tabs>
          <w:tab w:val="num" w:pos="2880"/>
        </w:tabs>
        <w:ind w:left="2880" w:hanging="360"/>
      </w:pPr>
    </w:lvl>
    <w:lvl w:ilvl="4" w:tplc="0810C1B4" w:tentative="1">
      <w:start w:val="1"/>
      <w:numFmt w:val="decimal"/>
      <w:lvlText w:val="%5."/>
      <w:lvlJc w:val="left"/>
      <w:pPr>
        <w:tabs>
          <w:tab w:val="num" w:pos="3600"/>
        </w:tabs>
        <w:ind w:left="3600" w:hanging="360"/>
      </w:pPr>
    </w:lvl>
    <w:lvl w:ilvl="5" w:tplc="8E283CD6" w:tentative="1">
      <w:start w:val="1"/>
      <w:numFmt w:val="decimal"/>
      <w:lvlText w:val="%6."/>
      <w:lvlJc w:val="left"/>
      <w:pPr>
        <w:tabs>
          <w:tab w:val="num" w:pos="4320"/>
        </w:tabs>
        <w:ind w:left="4320" w:hanging="360"/>
      </w:pPr>
    </w:lvl>
    <w:lvl w:ilvl="6" w:tplc="5B0C3108" w:tentative="1">
      <w:start w:val="1"/>
      <w:numFmt w:val="decimal"/>
      <w:lvlText w:val="%7."/>
      <w:lvlJc w:val="left"/>
      <w:pPr>
        <w:tabs>
          <w:tab w:val="num" w:pos="5040"/>
        </w:tabs>
        <w:ind w:left="5040" w:hanging="360"/>
      </w:pPr>
    </w:lvl>
    <w:lvl w:ilvl="7" w:tplc="73DC52F2" w:tentative="1">
      <w:start w:val="1"/>
      <w:numFmt w:val="decimal"/>
      <w:lvlText w:val="%8."/>
      <w:lvlJc w:val="left"/>
      <w:pPr>
        <w:tabs>
          <w:tab w:val="num" w:pos="5760"/>
        </w:tabs>
        <w:ind w:left="5760" w:hanging="360"/>
      </w:pPr>
    </w:lvl>
    <w:lvl w:ilvl="8" w:tplc="9DC64566" w:tentative="1">
      <w:start w:val="1"/>
      <w:numFmt w:val="decimal"/>
      <w:lvlText w:val="%9."/>
      <w:lvlJc w:val="left"/>
      <w:pPr>
        <w:tabs>
          <w:tab w:val="num" w:pos="6480"/>
        </w:tabs>
        <w:ind w:left="6480" w:hanging="360"/>
      </w:pPr>
    </w:lvl>
  </w:abstractNum>
  <w:num w:numId="1">
    <w:abstractNumId w:val="0"/>
  </w:num>
  <w:num w:numId="2">
    <w:abstractNumId w:val="7"/>
  </w:num>
  <w:num w:numId="3">
    <w:abstractNumId w:val="22"/>
  </w:num>
  <w:num w:numId="4">
    <w:abstractNumId w:val="12"/>
  </w:num>
  <w:num w:numId="5">
    <w:abstractNumId w:val="17"/>
  </w:num>
  <w:num w:numId="6">
    <w:abstractNumId w:val="23"/>
  </w:num>
  <w:num w:numId="7">
    <w:abstractNumId w:val="20"/>
  </w:num>
  <w:num w:numId="8">
    <w:abstractNumId w:val="21"/>
  </w:num>
  <w:num w:numId="9">
    <w:abstractNumId w:val="16"/>
  </w:num>
  <w:num w:numId="10">
    <w:abstractNumId w:val="29"/>
  </w:num>
  <w:num w:numId="11">
    <w:abstractNumId w:val="30"/>
  </w:num>
  <w:num w:numId="12">
    <w:abstractNumId w:val="24"/>
  </w:num>
  <w:num w:numId="13">
    <w:abstractNumId w:val="14"/>
  </w:num>
  <w:num w:numId="14">
    <w:abstractNumId w:val="11"/>
  </w:num>
  <w:num w:numId="15">
    <w:abstractNumId w:val="19"/>
  </w:num>
  <w:num w:numId="16">
    <w:abstractNumId w:val="34"/>
  </w:num>
  <w:num w:numId="17">
    <w:abstractNumId w:val="6"/>
  </w:num>
  <w:num w:numId="18">
    <w:abstractNumId w:val="26"/>
  </w:num>
  <w:num w:numId="19">
    <w:abstractNumId w:val="33"/>
  </w:num>
  <w:num w:numId="20">
    <w:abstractNumId w:val="13"/>
  </w:num>
  <w:num w:numId="21">
    <w:abstractNumId w:val="3"/>
  </w:num>
  <w:num w:numId="22">
    <w:abstractNumId w:val="1"/>
  </w:num>
  <w:num w:numId="23">
    <w:abstractNumId w:val="18"/>
  </w:num>
  <w:num w:numId="24">
    <w:abstractNumId w:val="25"/>
  </w:num>
  <w:num w:numId="25">
    <w:abstractNumId w:val="35"/>
  </w:num>
  <w:num w:numId="26">
    <w:abstractNumId w:val="2"/>
  </w:num>
  <w:num w:numId="27">
    <w:abstractNumId w:val="28"/>
  </w:num>
  <w:num w:numId="28">
    <w:abstractNumId w:val="15"/>
  </w:num>
  <w:num w:numId="29">
    <w:abstractNumId w:val="9"/>
  </w:num>
  <w:num w:numId="30">
    <w:abstractNumId w:val="32"/>
  </w:num>
  <w:num w:numId="31">
    <w:abstractNumId w:val="5"/>
  </w:num>
  <w:num w:numId="32">
    <w:abstractNumId w:val="27"/>
  </w:num>
  <w:num w:numId="33">
    <w:abstractNumId w:val="4"/>
  </w:num>
  <w:num w:numId="34">
    <w:abstractNumId w:val="31"/>
  </w:num>
  <w:num w:numId="35">
    <w:abstractNumId w:val="10"/>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7A"/>
    <w:rsid w:val="000166B7"/>
    <w:rsid w:val="00021F83"/>
    <w:rsid w:val="0002431B"/>
    <w:rsid w:val="00041A5C"/>
    <w:rsid w:val="000672DA"/>
    <w:rsid w:val="00080BD6"/>
    <w:rsid w:val="000821BC"/>
    <w:rsid w:val="00086BD3"/>
    <w:rsid w:val="000915A1"/>
    <w:rsid w:val="000959C6"/>
    <w:rsid w:val="00097963"/>
    <w:rsid w:val="00097AE2"/>
    <w:rsid w:val="000A42EA"/>
    <w:rsid w:val="000B4751"/>
    <w:rsid w:val="000B4CC1"/>
    <w:rsid w:val="000B624C"/>
    <w:rsid w:val="000B6E58"/>
    <w:rsid w:val="000C0D5A"/>
    <w:rsid w:val="000C1CF3"/>
    <w:rsid w:val="000C6C6E"/>
    <w:rsid w:val="000D6FC7"/>
    <w:rsid w:val="000D7617"/>
    <w:rsid w:val="000F4DA1"/>
    <w:rsid w:val="001067DC"/>
    <w:rsid w:val="00125B24"/>
    <w:rsid w:val="00126392"/>
    <w:rsid w:val="0013306C"/>
    <w:rsid w:val="00134AFC"/>
    <w:rsid w:val="00141BE5"/>
    <w:rsid w:val="001446AA"/>
    <w:rsid w:val="00147CA9"/>
    <w:rsid w:val="00154639"/>
    <w:rsid w:val="001575EE"/>
    <w:rsid w:val="001707E6"/>
    <w:rsid w:val="001714D0"/>
    <w:rsid w:val="00172D6D"/>
    <w:rsid w:val="00172FBD"/>
    <w:rsid w:val="001854A7"/>
    <w:rsid w:val="00190E2E"/>
    <w:rsid w:val="001A1DE1"/>
    <w:rsid w:val="001A6938"/>
    <w:rsid w:val="001B013A"/>
    <w:rsid w:val="001B0E2F"/>
    <w:rsid w:val="001B7ABD"/>
    <w:rsid w:val="001C1D9D"/>
    <w:rsid w:val="001D006B"/>
    <w:rsid w:val="001D6AE6"/>
    <w:rsid w:val="001E05C1"/>
    <w:rsid w:val="001E6ECE"/>
    <w:rsid w:val="0020646E"/>
    <w:rsid w:val="002079A3"/>
    <w:rsid w:val="0021030C"/>
    <w:rsid w:val="002131D3"/>
    <w:rsid w:val="00231332"/>
    <w:rsid w:val="00232BC2"/>
    <w:rsid w:val="00236793"/>
    <w:rsid w:val="00241493"/>
    <w:rsid w:val="00251C9F"/>
    <w:rsid w:val="00261BC8"/>
    <w:rsid w:val="00265893"/>
    <w:rsid w:val="0027088C"/>
    <w:rsid w:val="002723B9"/>
    <w:rsid w:val="002733F2"/>
    <w:rsid w:val="002753F9"/>
    <w:rsid w:val="00276357"/>
    <w:rsid w:val="002771C2"/>
    <w:rsid w:val="00277A24"/>
    <w:rsid w:val="002967DB"/>
    <w:rsid w:val="002B1B6D"/>
    <w:rsid w:val="002B3F5D"/>
    <w:rsid w:val="002B431E"/>
    <w:rsid w:val="002C5484"/>
    <w:rsid w:val="002C6B9E"/>
    <w:rsid w:val="002E3591"/>
    <w:rsid w:val="002E423E"/>
    <w:rsid w:val="002F280C"/>
    <w:rsid w:val="0030381E"/>
    <w:rsid w:val="00313534"/>
    <w:rsid w:val="0031608D"/>
    <w:rsid w:val="00316838"/>
    <w:rsid w:val="00324D3D"/>
    <w:rsid w:val="0032709D"/>
    <w:rsid w:val="00331EEF"/>
    <w:rsid w:val="003324F4"/>
    <w:rsid w:val="003330A3"/>
    <w:rsid w:val="0033624C"/>
    <w:rsid w:val="0034101B"/>
    <w:rsid w:val="0034333D"/>
    <w:rsid w:val="00347792"/>
    <w:rsid w:val="0035441D"/>
    <w:rsid w:val="003705D8"/>
    <w:rsid w:val="00371BA1"/>
    <w:rsid w:val="00377ED9"/>
    <w:rsid w:val="00380307"/>
    <w:rsid w:val="003876F8"/>
    <w:rsid w:val="003976D8"/>
    <w:rsid w:val="003A3871"/>
    <w:rsid w:val="003A39C3"/>
    <w:rsid w:val="003B2E46"/>
    <w:rsid w:val="003C6B1C"/>
    <w:rsid w:val="003C6FC8"/>
    <w:rsid w:val="003E18CD"/>
    <w:rsid w:val="003E239A"/>
    <w:rsid w:val="003E6C49"/>
    <w:rsid w:val="003F2374"/>
    <w:rsid w:val="003F5682"/>
    <w:rsid w:val="003F78C7"/>
    <w:rsid w:val="00401DF2"/>
    <w:rsid w:val="00405F70"/>
    <w:rsid w:val="00407B11"/>
    <w:rsid w:val="00443049"/>
    <w:rsid w:val="004450A6"/>
    <w:rsid w:val="004506A9"/>
    <w:rsid w:val="00457D8A"/>
    <w:rsid w:val="00462BA8"/>
    <w:rsid w:val="00472CDE"/>
    <w:rsid w:val="00473BDA"/>
    <w:rsid w:val="00474C31"/>
    <w:rsid w:val="00474D7A"/>
    <w:rsid w:val="00475AFA"/>
    <w:rsid w:val="00486939"/>
    <w:rsid w:val="004A180A"/>
    <w:rsid w:val="004A73A9"/>
    <w:rsid w:val="004A75A8"/>
    <w:rsid w:val="004B063F"/>
    <w:rsid w:val="004B1EBC"/>
    <w:rsid w:val="004B7151"/>
    <w:rsid w:val="004E791D"/>
    <w:rsid w:val="004F2B36"/>
    <w:rsid w:val="005057B9"/>
    <w:rsid w:val="0050793C"/>
    <w:rsid w:val="0051045E"/>
    <w:rsid w:val="00515CC0"/>
    <w:rsid w:val="00516A9C"/>
    <w:rsid w:val="00521193"/>
    <w:rsid w:val="005254B0"/>
    <w:rsid w:val="0052572A"/>
    <w:rsid w:val="005278AC"/>
    <w:rsid w:val="0053374C"/>
    <w:rsid w:val="00550DEC"/>
    <w:rsid w:val="005540E7"/>
    <w:rsid w:val="00554464"/>
    <w:rsid w:val="00555D3C"/>
    <w:rsid w:val="00591C32"/>
    <w:rsid w:val="005B4743"/>
    <w:rsid w:val="005D264E"/>
    <w:rsid w:val="005D2BC6"/>
    <w:rsid w:val="005D57CC"/>
    <w:rsid w:val="005E2DCC"/>
    <w:rsid w:val="005E3F6B"/>
    <w:rsid w:val="005E5C75"/>
    <w:rsid w:val="0060767D"/>
    <w:rsid w:val="0061078F"/>
    <w:rsid w:val="00622233"/>
    <w:rsid w:val="006251BF"/>
    <w:rsid w:val="006263E0"/>
    <w:rsid w:val="00654F68"/>
    <w:rsid w:val="00660D9F"/>
    <w:rsid w:val="0066412A"/>
    <w:rsid w:val="00682FE2"/>
    <w:rsid w:val="006A2DF3"/>
    <w:rsid w:val="006B29AA"/>
    <w:rsid w:val="006B5241"/>
    <w:rsid w:val="006D5CFF"/>
    <w:rsid w:val="006F3CEE"/>
    <w:rsid w:val="00702BC0"/>
    <w:rsid w:val="0071002B"/>
    <w:rsid w:val="00710956"/>
    <w:rsid w:val="00711BE8"/>
    <w:rsid w:val="0071265F"/>
    <w:rsid w:val="00721BF2"/>
    <w:rsid w:val="00723A58"/>
    <w:rsid w:val="00723BD3"/>
    <w:rsid w:val="00727953"/>
    <w:rsid w:val="00743516"/>
    <w:rsid w:val="00745B44"/>
    <w:rsid w:val="0074742F"/>
    <w:rsid w:val="00770D01"/>
    <w:rsid w:val="00775156"/>
    <w:rsid w:val="00787E8D"/>
    <w:rsid w:val="00787F35"/>
    <w:rsid w:val="00794272"/>
    <w:rsid w:val="00794B58"/>
    <w:rsid w:val="007A268F"/>
    <w:rsid w:val="007A7055"/>
    <w:rsid w:val="007B627B"/>
    <w:rsid w:val="007C653E"/>
    <w:rsid w:val="007C6FAA"/>
    <w:rsid w:val="007D2CC2"/>
    <w:rsid w:val="007E03A0"/>
    <w:rsid w:val="007E6D61"/>
    <w:rsid w:val="008167E1"/>
    <w:rsid w:val="00831C1D"/>
    <w:rsid w:val="00837E89"/>
    <w:rsid w:val="00863570"/>
    <w:rsid w:val="008648CB"/>
    <w:rsid w:val="00873528"/>
    <w:rsid w:val="0089730C"/>
    <w:rsid w:val="00897B52"/>
    <w:rsid w:val="008A3D6E"/>
    <w:rsid w:val="008A4BB0"/>
    <w:rsid w:val="008A5DD4"/>
    <w:rsid w:val="008B31DD"/>
    <w:rsid w:val="008B3C15"/>
    <w:rsid w:val="008C6387"/>
    <w:rsid w:val="008C6748"/>
    <w:rsid w:val="008C6A05"/>
    <w:rsid w:val="008D7A88"/>
    <w:rsid w:val="008E5F43"/>
    <w:rsid w:val="008F2603"/>
    <w:rsid w:val="008F4C32"/>
    <w:rsid w:val="009112B8"/>
    <w:rsid w:val="00924269"/>
    <w:rsid w:val="009244E1"/>
    <w:rsid w:val="00924E8A"/>
    <w:rsid w:val="00926120"/>
    <w:rsid w:val="00927579"/>
    <w:rsid w:val="00936B86"/>
    <w:rsid w:val="009437F1"/>
    <w:rsid w:val="00945CC8"/>
    <w:rsid w:val="00950E90"/>
    <w:rsid w:val="00952D49"/>
    <w:rsid w:val="00953D31"/>
    <w:rsid w:val="009567D6"/>
    <w:rsid w:val="00967C6C"/>
    <w:rsid w:val="00972634"/>
    <w:rsid w:val="00984EDB"/>
    <w:rsid w:val="00987660"/>
    <w:rsid w:val="00987A64"/>
    <w:rsid w:val="009944F1"/>
    <w:rsid w:val="00996AD8"/>
    <w:rsid w:val="009978DB"/>
    <w:rsid w:val="009A40DB"/>
    <w:rsid w:val="009C333E"/>
    <w:rsid w:val="009D2907"/>
    <w:rsid w:val="009E7E15"/>
    <w:rsid w:val="009F427E"/>
    <w:rsid w:val="009F5FDF"/>
    <w:rsid w:val="009F6F05"/>
    <w:rsid w:val="009F7D2E"/>
    <w:rsid w:val="00A041CD"/>
    <w:rsid w:val="00A05F57"/>
    <w:rsid w:val="00A10BFB"/>
    <w:rsid w:val="00A13C13"/>
    <w:rsid w:val="00A21659"/>
    <w:rsid w:val="00A24B4F"/>
    <w:rsid w:val="00A24EA2"/>
    <w:rsid w:val="00A25F38"/>
    <w:rsid w:val="00A26252"/>
    <w:rsid w:val="00A27F51"/>
    <w:rsid w:val="00A33ABD"/>
    <w:rsid w:val="00A43F74"/>
    <w:rsid w:val="00A56B65"/>
    <w:rsid w:val="00A6374C"/>
    <w:rsid w:val="00A67EED"/>
    <w:rsid w:val="00A722F6"/>
    <w:rsid w:val="00A749A0"/>
    <w:rsid w:val="00A74A9B"/>
    <w:rsid w:val="00A85697"/>
    <w:rsid w:val="00A90E29"/>
    <w:rsid w:val="00A9197A"/>
    <w:rsid w:val="00A93D23"/>
    <w:rsid w:val="00AA6642"/>
    <w:rsid w:val="00AB3A62"/>
    <w:rsid w:val="00AD4EB1"/>
    <w:rsid w:val="00AD623D"/>
    <w:rsid w:val="00AD796C"/>
    <w:rsid w:val="00B133F2"/>
    <w:rsid w:val="00B34495"/>
    <w:rsid w:val="00B35FA9"/>
    <w:rsid w:val="00B35FF5"/>
    <w:rsid w:val="00B41676"/>
    <w:rsid w:val="00B500EA"/>
    <w:rsid w:val="00B54132"/>
    <w:rsid w:val="00B565EC"/>
    <w:rsid w:val="00B60EDB"/>
    <w:rsid w:val="00B6775B"/>
    <w:rsid w:val="00B7386E"/>
    <w:rsid w:val="00B74647"/>
    <w:rsid w:val="00B91554"/>
    <w:rsid w:val="00B9309A"/>
    <w:rsid w:val="00B950E6"/>
    <w:rsid w:val="00BA114C"/>
    <w:rsid w:val="00BA5ED6"/>
    <w:rsid w:val="00BC2FFD"/>
    <w:rsid w:val="00BC3D1D"/>
    <w:rsid w:val="00BC5023"/>
    <w:rsid w:val="00BC5084"/>
    <w:rsid w:val="00BD6636"/>
    <w:rsid w:val="00BF5083"/>
    <w:rsid w:val="00C117DA"/>
    <w:rsid w:val="00C2571B"/>
    <w:rsid w:val="00C4012E"/>
    <w:rsid w:val="00C41B70"/>
    <w:rsid w:val="00C45DAF"/>
    <w:rsid w:val="00C761B2"/>
    <w:rsid w:val="00C76CE5"/>
    <w:rsid w:val="00C8085F"/>
    <w:rsid w:val="00C9222F"/>
    <w:rsid w:val="00CA1FFF"/>
    <w:rsid w:val="00CA3C44"/>
    <w:rsid w:val="00CA5A41"/>
    <w:rsid w:val="00CB0F7B"/>
    <w:rsid w:val="00CB28F9"/>
    <w:rsid w:val="00CB52F7"/>
    <w:rsid w:val="00CC001D"/>
    <w:rsid w:val="00CC573B"/>
    <w:rsid w:val="00CC59A2"/>
    <w:rsid w:val="00CC6EA1"/>
    <w:rsid w:val="00CD1E62"/>
    <w:rsid w:val="00CD2303"/>
    <w:rsid w:val="00CD4482"/>
    <w:rsid w:val="00CD486E"/>
    <w:rsid w:val="00CE347F"/>
    <w:rsid w:val="00CE7B63"/>
    <w:rsid w:val="00CF52D5"/>
    <w:rsid w:val="00D00458"/>
    <w:rsid w:val="00D10966"/>
    <w:rsid w:val="00D118E2"/>
    <w:rsid w:val="00D209E9"/>
    <w:rsid w:val="00D2364E"/>
    <w:rsid w:val="00D251B3"/>
    <w:rsid w:val="00D279EE"/>
    <w:rsid w:val="00D32FE4"/>
    <w:rsid w:val="00D33B8E"/>
    <w:rsid w:val="00D41F37"/>
    <w:rsid w:val="00D4436A"/>
    <w:rsid w:val="00D47B5B"/>
    <w:rsid w:val="00D55B3D"/>
    <w:rsid w:val="00D57777"/>
    <w:rsid w:val="00D70208"/>
    <w:rsid w:val="00D7371E"/>
    <w:rsid w:val="00D746C7"/>
    <w:rsid w:val="00D760D3"/>
    <w:rsid w:val="00D9249D"/>
    <w:rsid w:val="00D93A28"/>
    <w:rsid w:val="00DA324D"/>
    <w:rsid w:val="00DA5912"/>
    <w:rsid w:val="00DB4FA2"/>
    <w:rsid w:val="00DC2EB9"/>
    <w:rsid w:val="00DC3831"/>
    <w:rsid w:val="00DC3A41"/>
    <w:rsid w:val="00DC3B2E"/>
    <w:rsid w:val="00DC67EC"/>
    <w:rsid w:val="00DC6DCA"/>
    <w:rsid w:val="00DD2894"/>
    <w:rsid w:val="00DD33D9"/>
    <w:rsid w:val="00DD6408"/>
    <w:rsid w:val="00DE0267"/>
    <w:rsid w:val="00DE4E43"/>
    <w:rsid w:val="00DF2B1B"/>
    <w:rsid w:val="00E04DDB"/>
    <w:rsid w:val="00E240F8"/>
    <w:rsid w:val="00E30137"/>
    <w:rsid w:val="00E34380"/>
    <w:rsid w:val="00E361C6"/>
    <w:rsid w:val="00E36BFF"/>
    <w:rsid w:val="00E4117E"/>
    <w:rsid w:val="00E41AF0"/>
    <w:rsid w:val="00E45DEF"/>
    <w:rsid w:val="00E61885"/>
    <w:rsid w:val="00E64C4D"/>
    <w:rsid w:val="00E65FE0"/>
    <w:rsid w:val="00E7014C"/>
    <w:rsid w:val="00E711EC"/>
    <w:rsid w:val="00E814F8"/>
    <w:rsid w:val="00E97C19"/>
    <w:rsid w:val="00EA1743"/>
    <w:rsid w:val="00EB33A2"/>
    <w:rsid w:val="00EB3A03"/>
    <w:rsid w:val="00EC4485"/>
    <w:rsid w:val="00ED19D2"/>
    <w:rsid w:val="00EE0CE5"/>
    <w:rsid w:val="00EE7C84"/>
    <w:rsid w:val="00EF0731"/>
    <w:rsid w:val="00EF4025"/>
    <w:rsid w:val="00EF539A"/>
    <w:rsid w:val="00F11125"/>
    <w:rsid w:val="00F1451B"/>
    <w:rsid w:val="00F25A05"/>
    <w:rsid w:val="00F27A43"/>
    <w:rsid w:val="00F27F5C"/>
    <w:rsid w:val="00F33DAB"/>
    <w:rsid w:val="00F34FC7"/>
    <w:rsid w:val="00F475FF"/>
    <w:rsid w:val="00F52624"/>
    <w:rsid w:val="00F645FE"/>
    <w:rsid w:val="00F65272"/>
    <w:rsid w:val="00F708CF"/>
    <w:rsid w:val="00F752C0"/>
    <w:rsid w:val="00F801DD"/>
    <w:rsid w:val="00F84530"/>
    <w:rsid w:val="00F94D84"/>
    <w:rsid w:val="00FA3637"/>
    <w:rsid w:val="00FB099D"/>
    <w:rsid w:val="00FB66F2"/>
    <w:rsid w:val="00FC2DEB"/>
    <w:rsid w:val="00FC6C92"/>
    <w:rsid w:val="00FC7265"/>
    <w:rsid w:val="00FD7596"/>
    <w:rsid w:val="00FD7996"/>
    <w:rsid w:val="00FE0870"/>
    <w:rsid w:val="00FE6787"/>
    <w:rsid w:val="00FF73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2D5"/>
    <w:pPr>
      <w:suppressAutoHyphens/>
    </w:pPr>
    <w:rPr>
      <w:rFonts w:eastAsiaTheme="minorEastAsia"/>
      <w:color w:val="404040" w:themeColor="text1" w:themeTint="BF"/>
      <w:sz w:val="24"/>
      <w:lang w:val="en-GB" w:eastAsia="fr-BE"/>
    </w:rPr>
  </w:style>
  <w:style w:type="paragraph" w:styleId="Heading1">
    <w:name w:val="heading 1"/>
    <w:basedOn w:val="Normal"/>
    <w:next w:val="Normal"/>
    <w:link w:val="Heading1Char"/>
    <w:qFormat/>
    <w:rsid w:val="00CF52D5"/>
    <w:pPr>
      <w:keepNext/>
      <w:keepLines/>
      <w:spacing w:before="12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37F1"/>
    <w:pPr>
      <w:keepNext/>
      <w:keepLines/>
      <w:spacing w:after="0"/>
      <w:ind w:left="709"/>
      <w:outlineLvl w:val="1"/>
    </w:pPr>
    <w:rPr>
      <w:rFonts w:asciiTheme="majorHAnsi" w:eastAsiaTheme="majorEastAsia" w:hAnsiTheme="majorHAnsi" w:cstheme="majorBidi"/>
      <w:b/>
      <w:bCs/>
      <w:color w:val="365F91" w:themeColor="accent1" w:themeShade="BF"/>
      <w:sz w:val="26"/>
      <w:szCs w:val="26"/>
    </w:rPr>
  </w:style>
  <w:style w:type="paragraph" w:styleId="Heading5">
    <w:name w:val="heading 5"/>
    <w:basedOn w:val="Normal"/>
    <w:next w:val="Normal"/>
    <w:link w:val="Heading5Char"/>
    <w:qFormat/>
    <w:rsid w:val="00B6775B"/>
    <w:pPr>
      <w:keepNext/>
      <w:keepLines/>
      <w:spacing w:before="200" w:after="0" w:line="240" w:lineRule="auto"/>
      <w:outlineLvl w:val="4"/>
    </w:pPr>
    <w:rPr>
      <w:rFonts w:ascii="Calibri" w:eastAsia="MS Gothic" w:hAnsi="Calibri"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D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4D7A"/>
    <w:rPr>
      <w:lang w:val="en-GB"/>
    </w:rPr>
  </w:style>
  <w:style w:type="paragraph" w:styleId="Footer">
    <w:name w:val="footer"/>
    <w:basedOn w:val="Normal"/>
    <w:link w:val="FooterChar"/>
    <w:uiPriority w:val="99"/>
    <w:unhideWhenUsed/>
    <w:rsid w:val="00474D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4D7A"/>
    <w:rPr>
      <w:lang w:val="en-GB"/>
    </w:rPr>
  </w:style>
  <w:style w:type="paragraph" w:customStyle="1" w:styleId="nospacing">
    <w:name w:val="nospacing"/>
    <w:basedOn w:val="Normal"/>
    <w:rsid w:val="00474D7A"/>
    <w:pPr>
      <w:spacing w:before="100" w:beforeAutospacing="1" w:after="100" w:afterAutospacing="1" w:line="240" w:lineRule="auto"/>
    </w:pPr>
    <w:rPr>
      <w:rFonts w:ascii="Times New Roman" w:eastAsia="Calibri" w:hAnsi="Times New Roman" w:cs="Times New Roman"/>
      <w:szCs w:val="24"/>
      <w:lang w:val="en-US"/>
    </w:rPr>
  </w:style>
  <w:style w:type="character" w:styleId="Hyperlink">
    <w:name w:val="Hyperlink"/>
    <w:basedOn w:val="DefaultParagraphFont"/>
    <w:uiPriority w:val="99"/>
    <w:unhideWhenUsed/>
    <w:rsid w:val="002079A3"/>
    <w:rPr>
      <w:color w:val="0000FF" w:themeColor="hyperlink"/>
      <w:u w:val="single"/>
    </w:rPr>
  </w:style>
  <w:style w:type="paragraph" w:styleId="BalloonText">
    <w:name w:val="Balloon Text"/>
    <w:basedOn w:val="Normal"/>
    <w:link w:val="BalloonTextChar"/>
    <w:uiPriority w:val="99"/>
    <w:semiHidden/>
    <w:unhideWhenUsed/>
    <w:rsid w:val="00091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A1"/>
    <w:rPr>
      <w:rFonts w:ascii="Tahoma" w:hAnsi="Tahoma" w:cs="Tahoma"/>
      <w:sz w:val="16"/>
      <w:szCs w:val="16"/>
      <w:lang w:val="en-GB"/>
    </w:rPr>
  </w:style>
  <w:style w:type="character" w:customStyle="1" w:styleId="Heading5Char">
    <w:name w:val="Heading 5 Char"/>
    <w:basedOn w:val="DefaultParagraphFont"/>
    <w:link w:val="Heading5"/>
    <w:rsid w:val="00B6775B"/>
    <w:rPr>
      <w:rFonts w:ascii="Calibri" w:eastAsia="MS Gothic" w:hAnsi="Calibri" w:cs="Times New Roman"/>
      <w:color w:val="243F60"/>
      <w:sz w:val="20"/>
      <w:szCs w:val="20"/>
    </w:rPr>
  </w:style>
  <w:style w:type="character" w:styleId="CommentReference">
    <w:name w:val="annotation reference"/>
    <w:basedOn w:val="DefaultParagraphFont"/>
    <w:uiPriority w:val="99"/>
    <w:semiHidden/>
    <w:unhideWhenUsed/>
    <w:rsid w:val="000B624C"/>
    <w:rPr>
      <w:sz w:val="16"/>
      <w:szCs w:val="16"/>
    </w:rPr>
  </w:style>
  <w:style w:type="paragraph" w:styleId="CommentText">
    <w:name w:val="annotation text"/>
    <w:basedOn w:val="Normal"/>
    <w:link w:val="CommentTextChar"/>
    <w:uiPriority w:val="99"/>
    <w:semiHidden/>
    <w:unhideWhenUsed/>
    <w:rsid w:val="000B624C"/>
    <w:pPr>
      <w:spacing w:line="240" w:lineRule="auto"/>
    </w:pPr>
    <w:rPr>
      <w:sz w:val="20"/>
      <w:szCs w:val="20"/>
    </w:rPr>
  </w:style>
  <w:style w:type="character" w:customStyle="1" w:styleId="CommentTextChar">
    <w:name w:val="Comment Text Char"/>
    <w:basedOn w:val="DefaultParagraphFont"/>
    <w:link w:val="CommentText"/>
    <w:uiPriority w:val="99"/>
    <w:semiHidden/>
    <w:rsid w:val="000B624C"/>
    <w:rPr>
      <w:sz w:val="20"/>
      <w:szCs w:val="20"/>
      <w:lang w:val="en-GB"/>
    </w:rPr>
  </w:style>
  <w:style w:type="paragraph" w:styleId="CommentSubject">
    <w:name w:val="annotation subject"/>
    <w:basedOn w:val="CommentText"/>
    <w:next w:val="CommentText"/>
    <w:link w:val="CommentSubjectChar"/>
    <w:uiPriority w:val="99"/>
    <w:semiHidden/>
    <w:unhideWhenUsed/>
    <w:rsid w:val="000B624C"/>
    <w:rPr>
      <w:b/>
      <w:bCs/>
    </w:rPr>
  </w:style>
  <w:style w:type="character" w:customStyle="1" w:styleId="CommentSubjectChar">
    <w:name w:val="Comment Subject Char"/>
    <w:basedOn w:val="CommentTextChar"/>
    <w:link w:val="CommentSubject"/>
    <w:uiPriority w:val="99"/>
    <w:semiHidden/>
    <w:rsid w:val="000B624C"/>
    <w:rPr>
      <w:b/>
      <w:bCs/>
      <w:sz w:val="20"/>
      <w:szCs w:val="20"/>
      <w:lang w:val="en-GB"/>
    </w:rPr>
  </w:style>
  <w:style w:type="paragraph" w:styleId="Revision">
    <w:name w:val="Revision"/>
    <w:hidden/>
    <w:uiPriority w:val="99"/>
    <w:semiHidden/>
    <w:rsid w:val="002733F2"/>
    <w:pPr>
      <w:spacing w:after="0" w:line="240" w:lineRule="auto"/>
    </w:pPr>
    <w:rPr>
      <w:lang w:val="en-GB"/>
    </w:rPr>
  </w:style>
  <w:style w:type="character" w:customStyle="1" w:styleId="Heading1Char">
    <w:name w:val="Heading 1 Char"/>
    <w:basedOn w:val="DefaultParagraphFont"/>
    <w:link w:val="Heading1"/>
    <w:rsid w:val="00CF52D5"/>
    <w:rPr>
      <w:rFonts w:asciiTheme="majorHAnsi" w:eastAsiaTheme="majorEastAsia" w:hAnsiTheme="majorHAnsi" w:cstheme="majorBidi"/>
      <w:b/>
      <w:bCs/>
      <w:color w:val="365F91" w:themeColor="accent1" w:themeShade="BF"/>
      <w:sz w:val="28"/>
      <w:szCs w:val="28"/>
      <w:lang w:val="en-GB" w:eastAsia="fr-BE"/>
    </w:rPr>
  </w:style>
  <w:style w:type="character" w:styleId="PlaceholderText">
    <w:name w:val="Placeholder Text"/>
    <w:basedOn w:val="DefaultParagraphFont"/>
    <w:uiPriority w:val="99"/>
    <w:semiHidden/>
    <w:rsid w:val="00A25F38"/>
    <w:rPr>
      <w:color w:val="808080"/>
    </w:rPr>
  </w:style>
  <w:style w:type="character" w:customStyle="1" w:styleId="Heading2Char">
    <w:name w:val="Heading 2 Char"/>
    <w:basedOn w:val="DefaultParagraphFont"/>
    <w:link w:val="Heading2"/>
    <w:uiPriority w:val="9"/>
    <w:rsid w:val="009437F1"/>
    <w:rPr>
      <w:rFonts w:asciiTheme="majorHAnsi" w:eastAsiaTheme="majorEastAsia" w:hAnsiTheme="majorHAnsi" w:cstheme="majorBidi"/>
      <w:b/>
      <w:bCs/>
      <w:color w:val="365F91" w:themeColor="accent1" w:themeShade="BF"/>
      <w:sz w:val="26"/>
      <w:szCs w:val="26"/>
      <w:lang w:val="en-GB" w:eastAsia="fr-BE"/>
    </w:rPr>
  </w:style>
  <w:style w:type="paragraph" w:styleId="ListParagraph">
    <w:name w:val="List Paragraph"/>
    <w:basedOn w:val="Normal"/>
    <w:link w:val="ListParagraphChar"/>
    <w:uiPriority w:val="34"/>
    <w:qFormat/>
    <w:rsid w:val="00775156"/>
    <w:pPr>
      <w:ind w:left="720"/>
      <w:contextualSpacing/>
    </w:pPr>
  </w:style>
  <w:style w:type="paragraph" w:styleId="ListBullet2">
    <w:name w:val="List Bullet 2"/>
    <w:basedOn w:val="Normal"/>
    <w:autoRedefine/>
    <w:rsid w:val="00A33ABD"/>
    <w:pPr>
      <w:numPr>
        <w:numId w:val="1"/>
      </w:numPr>
      <w:spacing w:after="0" w:line="240" w:lineRule="auto"/>
    </w:pPr>
    <w:rPr>
      <w:rFonts w:ascii="Times New Roman" w:eastAsia="Times New Roman" w:hAnsi="Times New Roman" w:cs="Times New Roman"/>
      <w:szCs w:val="24"/>
      <w:lang w:eastAsia="en-US"/>
    </w:rPr>
  </w:style>
  <w:style w:type="paragraph" w:styleId="NormalWeb">
    <w:name w:val="Normal (Web)"/>
    <w:aliases w:val=" webb"/>
    <w:basedOn w:val="Normal"/>
    <w:uiPriority w:val="99"/>
    <w:unhideWhenUsed/>
    <w:rsid w:val="00A33AB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Heading">
    <w:name w:val="TOC Heading"/>
    <w:basedOn w:val="Heading1"/>
    <w:next w:val="Normal"/>
    <w:uiPriority w:val="39"/>
    <w:unhideWhenUsed/>
    <w:qFormat/>
    <w:rsid w:val="00316838"/>
    <w:pPr>
      <w:outlineLvl w:val="9"/>
    </w:pPr>
    <w:rPr>
      <w:lang w:val="en-US" w:eastAsia="ja-JP"/>
    </w:rPr>
  </w:style>
  <w:style w:type="paragraph" w:styleId="TOC2">
    <w:name w:val="toc 2"/>
    <w:basedOn w:val="Normal"/>
    <w:next w:val="Normal"/>
    <w:autoRedefine/>
    <w:uiPriority w:val="39"/>
    <w:unhideWhenUsed/>
    <w:qFormat/>
    <w:rsid w:val="00316838"/>
    <w:pPr>
      <w:spacing w:after="100"/>
      <w:ind w:left="220"/>
    </w:pPr>
    <w:rPr>
      <w:lang w:val="en-US" w:eastAsia="ja-JP"/>
    </w:rPr>
  </w:style>
  <w:style w:type="paragraph" w:styleId="TOC1">
    <w:name w:val="toc 1"/>
    <w:basedOn w:val="Normal"/>
    <w:next w:val="Normal"/>
    <w:autoRedefine/>
    <w:uiPriority w:val="39"/>
    <w:unhideWhenUsed/>
    <w:qFormat/>
    <w:rsid w:val="00721BF2"/>
    <w:pPr>
      <w:tabs>
        <w:tab w:val="right" w:leader="dot" w:pos="9062"/>
      </w:tabs>
      <w:spacing w:after="0" w:line="240" w:lineRule="auto"/>
    </w:pPr>
    <w:rPr>
      <w:lang w:val="en-US" w:eastAsia="ja-JP"/>
    </w:rPr>
  </w:style>
  <w:style w:type="paragraph" w:styleId="TOC3">
    <w:name w:val="toc 3"/>
    <w:basedOn w:val="Normal"/>
    <w:next w:val="Normal"/>
    <w:autoRedefine/>
    <w:uiPriority w:val="39"/>
    <w:semiHidden/>
    <w:unhideWhenUsed/>
    <w:qFormat/>
    <w:rsid w:val="00316838"/>
    <w:pPr>
      <w:spacing w:after="100"/>
      <w:ind w:left="440"/>
    </w:pPr>
    <w:rPr>
      <w:lang w:val="en-US" w:eastAsia="ja-JP"/>
    </w:rPr>
  </w:style>
  <w:style w:type="table" w:customStyle="1" w:styleId="LightShading-Accent11">
    <w:name w:val="Light Shading - Accent 11"/>
    <w:basedOn w:val="TableNormal"/>
    <w:uiPriority w:val="60"/>
    <w:rsid w:val="00837E89"/>
    <w:pPr>
      <w:spacing w:after="0" w:line="240" w:lineRule="auto"/>
    </w:pPr>
    <w:rPr>
      <w:rFonts w:eastAsiaTheme="minorEastAsia"/>
      <w:color w:val="365F91" w:themeColor="accent1" w:themeShade="BF"/>
      <w:lang w:eastAsia="fr-B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7D2CC2"/>
    <w:pPr>
      <w:autoSpaceDE w:val="0"/>
      <w:autoSpaceDN w:val="0"/>
      <w:adjustRightInd w:val="0"/>
      <w:spacing w:after="0" w:line="240" w:lineRule="auto"/>
    </w:pPr>
    <w:rPr>
      <w:rFonts w:ascii="Symbol" w:hAnsi="Symbol" w:cs="Symbol"/>
      <w:color w:val="000000"/>
      <w:sz w:val="24"/>
      <w:szCs w:val="24"/>
    </w:rPr>
  </w:style>
  <w:style w:type="character" w:customStyle="1" w:styleId="ListParagraphChar">
    <w:name w:val="List Paragraph Char"/>
    <w:basedOn w:val="DefaultParagraphFont"/>
    <w:link w:val="ListParagraph"/>
    <w:uiPriority w:val="34"/>
    <w:rsid w:val="00775156"/>
    <w:rPr>
      <w:rFonts w:eastAsiaTheme="minorEastAsia"/>
      <w:color w:val="404040" w:themeColor="text1" w:themeTint="BF"/>
      <w:sz w:val="24"/>
      <w:lang w:val="en-GB" w:eastAsia="fr-BE"/>
    </w:rPr>
  </w:style>
  <w:style w:type="paragraph" w:styleId="FootnoteText">
    <w:name w:val="footnote text"/>
    <w:basedOn w:val="Normal"/>
    <w:link w:val="FootnoteTextChar"/>
    <w:uiPriority w:val="99"/>
    <w:unhideWhenUsed/>
    <w:rsid w:val="00D33B8E"/>
    <w:pPr>
      <w:spacing w:after="0" w:line="240" w:lineRule="auto"/>
    </w:pPr>
    <w:rPr>
      <w:sz w:val="20"/>
      <w:szCs w:val="20"/>
    </w:rPr>
  </w:style>
  <w:style w:type="character" w:customStyle="1" w:styleId="FootnoteTextChar">
    <w:name w:val="Footnote Text Char"/>
    <w:basedOn w:val="DefaultParagraphFont"/>
    <w:link w:val="FootnoteText"/>
    <w:uiPriority w:val="99"/>
    <w:rsid w:val="00D33B8E"/>
    <w:rPr>
      <w:rFonts w:eastAsiaTheme="minorEastAsia"/>
      <w:sz w:val="20"/>
      <w:szCs w:val="20"/>
      <w:lang w:val="en-GB" w:eastAsia="fr-BE"/>
    </w:rPr>
  </w:style>
  <w:style w:type="character" w:styleId="FootnoteReference">
    <w:name w:val="footnote reference"/>
    <w:basedOn w:val="DefaultParagraphFont"/>
    <w:uiPriority w:val="99"/>
    <w:unhideWhenUsed/>
    <w:qFormat/>
    <w:rsid w:val="00D33B8E"/>
    <w:rPr>
      <w:vertAlign w:val="superscript"/>
    </w:rPr>
  </w:style>
  <w:style w:type="table" w:styleId="TableGrid">
    <w:name w:val="Table Grid"/>
    <w:basedOn w:val="TableNormal"/>
    <w:uiPriority w:val="59"/>
    <w:rsid w:val="005E2DCC"/>
    <w:pPr>
      <w:spacing w:after="0" w:line="240" w:lineRule="auto"/>
    </w:pPr>
    <w:rPr>
      <w:rFonts w:ascii="Calibri" w:eastAsia="Calibri" w:hAnsi="Calibri" w:cs="Times New Roman"/>
      <w:sz w:val="20"/>
      <w:szCs w:val="20"/>
      <w:lang w:val="hu-HU"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ListParagraph"/>
    <w:qFormat/>
    <w:rsid w:val="005E2DCC"/>
    <w:pPr>
      <w:numPr>
        <w:numId w:val="3"/>
      </w:numPr>
      <w:pBdr>
        <w:bottom w:val="single" w:sz="4" w:space="1" w:color="130B7B"/>
      </w:pBdr>
      <w:spacing w:after="0" w:line="240" w:lineRule="auto"/>
      <w:ind w:right="425"/>
    </w:pPr>
    <w:rPr>
      <w:rFonts w:ascii="Arial" w:hAnsi="Arial" w:cs="Arial"/>
      <w:b/>
      <w:color w:val="130B7B"/>
      <w:szCs w:val="24"/>
    </w:rPr>
  </w:style>
  <w:style w:type="paragraph" w:customStyle="1" w:styleId="Style2">
    <w:name w:val="Style2"/>
    <w:basedOn w:val="ListParagraph"/>
    <w:link w:val="Style2Char"/>
    <w:qFormat/>
    <w:rsid w:val="005E2DCC"/>
    <w:pPr>
      <w:numPr>
        <w:ilvl w:val="1"/>
        <w:numId w:val="3"/>
      </w:numPr>
      <w:spacing w:after="0" w:line="240" w:lineRule="auto"/>
    </w:pPr>
    <w:rPr>
      <w:rFonts w:ascii="Arial" w:hAnsi="Arial" w:cs="Arial"/>
      <w:b/>
    </w:rPr>
  </w:style>
  <w:style w:type="character" w:customStyle="1" w:styleId="Style2Char">
    <w:name w:val="Style2 Char"/>
    <w:basedOn w:val="ListParagraphChar"/>
    <w:link w:val="Style2"/>
    <w:rsid w:val="005E2DCC"/>
    <w:rPr>
      <w:rFonts w:ascii="Arial" w:eastAsiaTheme="minorEastAsia" w:hAnsi="Arial" w:cs="Arial"/>
      <w:b/>
      <w:color w:val="404040" w:themeColor="text1" w:themeTint="BF"/>
      <w:sz w:val="24"/>
      <w:lang w:val="en-GB" w:eastAsia="fr-BE"/>
    </w:rPr>
  </w:style>
  <w:style w:type="character" w:customStyle="1" w:styleId="A15">
    <w:name w:val="A15"/>
    <w:uiPriority w:val="99"/>
    <w:rsid w:val="00405F70"/>
    <w:rPr>
      <w:rFonts w:ascii="Arial" w:hAnsi="Arial" w:cs="Arial"/>
      <w:b/>
      <w:bCs/>
      <w:color w:val="000000"/>
      <w:sz w:val="100"/>
      <w:szCs w:val="100"/>
    </w:rPr>
  </w:style>
  <w:style w:type="paragraph" w:styleId="Title">
    <w:name w:val="Title"/>
    <w:basedOn w:val="Normal"/>
    <w:next w:val="Normal"/>
    <w:link w:val="TitleChar"/>
    <w:autoRedefine/>
    <w:uiPriority w:val="10"/>
    <w:qFormat/>
    <w:rsid w:val="00743516"/>
    <w:pPr>
      <w:pBdr>
        <w:bottom w:val="single" w:sz="8" w:space="4" w:color="4F81BD" w:themeColor="accent1"/>
      </w:pBdr>
      <w:spacing w:after="300" w:line="240" w:lineRule="auto"/>
      <w:ind w:left="360"/>
      <w:contextualSpacing/>
      <w:jc w:val="center"/>
    </w:pPr>
    <w:rPr>
      <w:rFonts w:asciiTheme="majorHAnsi" w:eastAsiaTheme="majorEastAsia" w:hAnsiTheme="majorHAnsi" w:cstheme="majorBidi"/>
      <w:b/>
      <w:color w:val="365F91" w:themeColor="accent1" w:themeShade="BF"/>
      <w:spacing w:val="5"/>
      <w:kern w:val="28"/>
      <w:sz w:val="40"/>
      <w:szCs w:val="52"/>
    </w:rPr>
  </w:style>
  <w:style w:type="character" w:customStyle="1" w:styleId="TitleChar">
    <w:name w:val="Title Char"/>
    <w:basedOn w:val="DefaultParagraphFont"/>
    <w:link w:val="Title"/>
    <w:uiPriority w:val="10"/>
    <w:rsid w:val="00743516"/>
    <w:rPr>
      <w:rFonts w:asciiTheme="majorHAnsi" w:eastAsiaTheme="majorEastAsia" w:hAnsiTheme="majorHAnsi" w:cstheme="majorBidi"/>
      <w:b/>
      <w:color w:val="365F91" w:themeColor="accent1" w:themeShade="BF"/>
      <w:spacing w:val="5"/>
      <w:kern w:val="28"/>
      <w:sz w:val="40"/>
      <w:szCs w:val="52"/>
      <w:lang w:val="en-GB" w:eastAsia="fr-BE"/>
    </w:rPr>
  </w:style>
  <w:style w:type="character" w:customStyle="1" w:styleId="shorttext">
    <w:name w:val="short_text"/>
    <w:basedOn w:val="DefaultParagraphFont"/>
    <w:rsid w:val="00A72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2D5"/>
    <w:pPr>
      <w:suppressAutoHyphens/>
    </w:pPr>
    <w:rPr>
      <w:rFonts w:eastAsiaTheme="minorEastAsia"/>
      <w:color w:val="404040" w:themeColor="text1" w:themeTint="BF"/>
      <w:sz w:val="24"/>
      <w:lang w:val="en-GB" w:eastAsia="fr-BE"/>
    </w:rPr>
  </w:style>
  <w:style w:type="paragraph" w:styleId="Heading1">
    <w:name w:val="heading 1"/>
    <w:basedOn w:val="Normal"/>
    <w:next w:val="Normal"/>
    <w:link w:val="Heading1Char"/>
    <w:qFormat/>
    <w:rsid w:val="00CF52D5"/>
    <w:pPr>
      <w:keepNext/>
      <w:keepLines/>
      <w:spacing w:before="12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37F1"/>
    <w:pPr>
      <w:keepNext/>
      <w:keepLines/>
      <w:spacing w:after="0"/>
      <w:ind w:left="709"/>
      <w:outlineLvl w:val="1"/>
    </w:pPr>
    <w:rPr>
      <w:rFonts w:asciiTheme="majorHAnsi" w:eastAsiaTheme="majorEastAsia" w:hAnsiTheme="majorHAnsi" w:cstheme="majorBidi"/>
      <w:b/>
      <w:bCs/>
      <w:color w:val="365F91" w:themeColor="accent1" w:themeShade="BF"/>
      <w:sz w:val="26"/>
      <w:szCs w:val="26"/>
    </w:rPr>
  </w:style>
  <w:style w:type="paragraph" w:styleId="Heading5">
    <w:name w:val="heading 5"/>
    <w:basedOn w:val="Normal"/>
    <w:next w:val="Normal"/>
    <w:link w:val="Heading5Char"/>
    <w:qFormat/>
    <w:rsid w:val="00B6775B"/>
    <w:pPr>
      <w:keepNext/>
      <w:keepLines/>
      <w:spacing w:before="200" w:after="0" w:line="240" w:lineRule="auto"/>
      <w:outlineLvl w:val="4"/>
    </w:pPr>
    <w:rPr>
      <w:rFonts w:ascii="Calibri" w:eastAsia="MS Gothic" w:hAnsi="Calibri"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D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4D7A"/>
    <w:rPr>
      <w:lang w:val="en-GB"/>
    </w:rPr>
  </w:style>
  <w:style w:type="paragraph" w:styleId="Footer">
    <w:name w:val="footer"/>
    <w:basedOn w:val="Normal"/>
    <w:link w:val="FooterChar"/>
    <w:uiPriority w:val="99"/>
    <w:unhideWhenUsed/>
    <w:rsid w:val="00474D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4D7A"/>
    <w:rPr>
      <w:lang w:val="en-GB"/>
    </w:rPr>
  </w:style>
  <w:style w:type="paragraph" w:customStyle="1" w:styleId="nospacing">
    <w:name w:val="nospacing"/>
    <w:basedOn w:val="Normal"/>
    <w:rsid w:val="00474D7A"/>
    <w:pPr>
      <w:spacing w:before="100" w:beforeAutospacing="1" w:after="100" w:afterAutospacing="1" w:line="240" w:lineRule="auto"/>
    </w:pPr>
    <w:rPr>
      <w:rFonts w:ascii="Times New Roman" w:eastAsia="Calibri" w:hAnsi="Times New Roman" w:cs="Times New Roman"/>
      <w:szCs w:val="24"/>
      <w:lang w:val="en-US"/>
    </w:rPr>
  </w:style>
  <w:style w:type="character" w:styleId="Hyperlink">
    <w:name w:val="Hyperlink"/>
    <w:basedOn w:val="DefaultParagraphFont"/>
    <w:uiPriority w:val="99"/>
    <w:unhideWhenUsed/>
    <w:rsid w:val="002079A3"/>
    <w:rPr>
      <w:color w:val="0000FF" w:themeColor="hyperlink"/>
      <w:u w:val="single"/>
    </w:rPr>
  </w:style>
  <w:style w:type="paragraph" w:styleId="BalloonText">
    <w:name w:val="Balloon Text"/>
    <w:basedOn w:val="Normal"/>
    <w:link w:val="BalloonTextChar"/>
    <w:uiPriority w:val="99"/>
    <w:semiHidden/>
    <w:unhideWhenUsed/>
    <w:rsid w:val="00091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A1"/>
    <w:rPr>
      <w:rFonts w:ascii="Tahoma" w:hAnsi="Tahoma" w:cs="Tahoma"/>
      <w:sz w:val="16"/>
      <w:szCs w:val="16"/>
      <w:lang w:val="en-GB"/>
    </w:rPr>
  </w:style>
  <w:style w:type="character" w:customStyle="1" w:styleId="Heading5Char">
    <w:name w:val="Heading 5 Char"/>
    <w:basedOn w:val="DefaultParagraphFont"/>
    <w:link w:val="Heading5"/>
    <w:rsid w:val="00B6775B"/>
    <w:rPr>
      <w:rFonts w:ascii="Calibri" w:eastAsia="MS Gothic" w:hAnsi="Calibri" w:cs="Times New Roman"/>
      <w:color w:val="243F60"/>
      <w:sz w:val="20"/>
      <w:szCs w:val="20"/>
    </w:rPr>
  </w:style>
  <w:style w:type="character" w:styleId="CommentReference">
    <w:name w:val="annotation reference"/>
    <w:basedOn w:val="DefaultParagraphFont"/>
    <w:uiPriority w:val="99"/>
    <w:semiHidden/>
    <w:unhideWhenUsed/>
    <w:rsid w:val="000B624C"/>
    <w:rPr>
      <w:sz w:val="16"/>
      <w:szCs w:val="16"/>
    </w:rPr>
  </w:style>
  <w:style w:type="paragraph" w:styleId="CommentText">
    <w:name w:val="annotation text"/>
    <w:basedOn w:val="Normal"/>
    <w:link w:val="CommentTextChar"/>
    <w:uiPriority w:val="99"/>
    <w:semiHidden/>
    <w:unhideWhenUsed/>
    <w:rsid w:val="000B624C"/>
    <w:pPr>
      <w:spacing w:line="240" w:lineRule="auto"/>
    </w:pPr>
    <w:rPr>
      <w:sz w:val="20"/>
      <w:szCs w:val="20"/>
    </w:rPr>
  </w:style>
  <w:style w:type="character" w:customStyle="1" w:styleId="CommentTextChar">
    <w:name w:val="Comment Text Char"/>
    <w:basedOn w:val="DefaultParagraphFont"/>
    <w:link w:val="CommentText"/>
    <w:uiPriority w:val="99"/>
    <w:semiHidden/>
    <w:rsid w:val="000B624C"/>
    <w:rPr>
      <w:sz w:val="20"/>
      <w:szCs w:val="20"/>
      <w:lang w:val="en-GB"/>
    </w:rPr>
  </w:style>
  <w:style w:type="paragraph" w:styleId="CommentSubject">
    <w:name w:val="annotation subject"/>
    <w:basedOn w:val="CommentText"/>
    <w:next w:val="CommentText"/>
    <w:link w:val="CommentSubjectChar"/>
    <w:uiPriority w:val="99"/>
    <w:semiHidden/>
    <w:unhideWhenUsed/>
    <w:rsid w:val="000B624C"/>
    <w:rPr>
      <w:b/>
      <w:bCs/>
    </w:rPr>
  </w:style>
  <w:style w:type="character" w:customStyle="1" w:styleId="CommentSubjectChar">
    <w:name w:val="Comment Subject Char"/>
    <w:basedOn w:val="CommentTextChar"/>
    <w:link w:val="CommentSubject"/>
    <w:uiPriority w:val="99"/>
    <w:semiHidden/>
    <w:rsid w:val="000B624C"/>
    <w:rPr>
      <w:b/>
      <w:bCs/>
      <w:sz w:val="20"/>
      <w:szCs w:val="20"/>
      <w:lang w:val="en-GB"/>
    </w:rPr>
  </w:style>
  <w:style w:type="paragraph" w:styleId="Revision">
    <w:name w:val="Revision"/>
    <w:hidden/>
    <w:uiPriority w:val="99"/>
    <w:semiHidden/>
    <w:rsid w:val="002733F2"/>
    <w:pPr>
      <w:spacing w:after="0" w:line="240" w:lineRule="auto"/>
    </w:pPr>
    <w:rPr>
      <w:lang w:val="en-GB"/>
    </w:rPr>
  </w:style>
  <w:style w:type="character" w:customStyle="1" w:styleId="Heading1Char">
    <w:name w:val="Heading 1 Char"/>
    <w:basedOn w:val="DefaultParagraphFont"/>
    <w:link w:val="Heading1"/>
    <w:rsid w:val="00CF52D5"/>
    <w:rPr>
      <w:rFonts w:asciiTheme="majorHAnsi" w:eastAsiaTheme="majorEastAsia" w:hAnsiTheme="majorHAnsi" w:cstheme="majorBidi"/>
      <w:b/>
      <w:bCs/>
      <w:color w:val="365F91" w:themeColor="accent1" w:themeShade="BF"/>
      <w:sz w:val="28"/>
      <w:szCs w:val="28"/>
      <w:lang w:val="en-GB" w:eastAsia="fr-BE"/>
    </w:rPr>
  </w:style>
  <w:style w:type="character" w:styleId="PlaceholderText">
    <w:name w:val="Placeholder Text"/>
    <w:basedOn w:val="DefaultParagraphFont"/>
    <w:uiPriority w:val="99"/>
    <w:semiHidden/>
    <w:rsid w:val="00A25F38"/>
    <w:rPr>
      <w:color w:val="808080"/>
    </w:rPr>
  </w:style>
  <w:style w:type="character" w:customStyle="1" w:styleId="Heading2Char">
    <w:name w:val="Heading 2 Char"/>
    <w:basedOn w:val="DefaultParagraphFont"/>
    <w:link w:val="Heading2"/>
    <w:uiPriority w:val="9"/>
    <w:rsid w:val="009437F1"/>
    <w:rPr>
      <w:rFonts w:asciiTheme="majorHAnsi" w:eastAsiaTheme="majorEastAsia" w:hAnsiTheme="majorHAnsi" w:cstheme="majorBidi"/>
      <w:b/>
      <w:bCs/>
      <w:color w:val="365F91" w:themeColor="accent1" w:themeShade="BF"/>
      <w:sz w:val="26"/>
      <w:szCs w:val="26"/>
      <w:lang w:val="en-GB" w:eastAsia="fr-BE"/>
    </w:rPr>
  </w:style>
  <w:style w:type="paragraph" w:styleId="ListParagraph">
    <w:name w:val="List Paragraph"/>
    <w:basedOn w:val="Normal"/>
    <w:link w:val="ListParagraphChar"/>
    <w:uiPriority w:val="34"/>
    <w:qFormat/>
    <w:rsid w:val="00775156"/>
    <w:pPr>
      <w:ind w:left="720"/>
      <w:contextualSpacing/>
    </w:pPr>
  </w:style>
  <w:style w:type="paragraph" w:styleId="ListBullet2">
    <w:name w:val="List Bullet 2"/>
    <w:basedOn w:val="Normal"/>
    <w:autoRedefine/>
    <w:rsid w:val="00A33ABD"/>
    <w:pPr>
      <w:numPr>
        <w:numId w:val="1"/>
      </w:numPr>
      <w:spacing w:after="0" w:line="240" w:lineRule="auto"/>
    </w:pPr>
    <w:rPr>
      <w:rFonts w:ascii="Times New Roman" w:eastAsia="Times New Roman" w:hAnsi="Times New Roman" w:cs="Times New Roman"/>
      <w:szCs w:val="24"/>
      <w:lang w:eastAsia="en-US"/>
    </w:rPr>
  </w:style>
  <w:style w:type="paragraph" w:styleId="NormalWeb">
    <w:name w:val="Normal (Web)"/>
    <w:aliases w:val=" webb"/>
    <w:basedOn w:val="Normal"/>
    <w:uiPriority w:val="99"/>
    <w:unhideWhenUsed/>
    <w:rsid w:val="00A33AB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Heading">
    <w:name w:val="TOC Heading"/>
    <w:basedOn w:val="Heading1"/>
    <w:next w:val="Normal"/>
    <w:uiPriority w:val="39"/>
    <w:unhideWhenUsed/>
    <w:qFormat/>
    <w:rsid w:val="00316838"/>
    <w:pPr>
      <w:outlineLvl w:val="9"/>
    </w:pPr>
    <w:rPr>
      <w:lang w:val="en-US" w:eastAsia="ja-JP"/>
    </w:rPr>
  </w:style>
  <w:style w:type="paragraph" w:styleId="TOC2">
    <w:name w:val="toc 2"/>
    <w:basedOn w:val="Normal"/>
    <w:next w:val="Normal"/>
    <w:autoRedefine/>
    <w:uiPriority w:val="39"/>
    <w:unhideWhenUsed/>
    <w:qFormat/>
    <w:rsid w:val="00316838"/>
    <w:pPr>
      <w:spacing w:after="100"/>
      <w:ind w:left="220"/>
    </w:pPr>
    <w:rPr>
      <w:lang w:val="en-US" w:eastAsia="ja-JP"/>
    </w:rPr>
  </w:style>
  <w:style w:type="paragraph" w:styleId="TOC1">
    <w:name w:val="toc 1"/>
    <w:basedOn w:val="Normal"/>
    <w:next w:val="Normal"/>
    <w:autoRedefine/>
    <w:uiPriority w:val="39"/>
    <w:unhideWhenUsed/>
    <w:qFormat/>
    <w:rsid w:val="00721BF2"/>
    <w:pPr>
      <w:tabs>
        <w:tab w:val="right" w:leader="dot" w:pos="9062"/>
      </w:tabs>
      <w:spacing w:after="0" w:line="240" w:lineRule="auto"/>
    </w:pPr>
    <w:rPr>
      <w:lang w:val="en-US" w:eastAsia="ja-JP"/>
    </w:rPr>
  </w:style>
  <w:style w:type="paragraph" w:styleId="TOC3">
    <w:name w:val="toc 3"/>
    <w:basedOn w:val="Normal"/>
    <w:next w:val="Normal"/>
    <w:autoRedefine/>
    <w:uiPriority w:val="39"/>
    <w:semiHidden/>
    <w:unhideWhenUsed/>
    <w:qFormat/>
    <w:rsid w:val="00316838"/>
    <w:pPr>
      <w:spacing w:after="100"/>
      <w:ind w:left="440"/>
    </w:pPr>
    <w:rPr>
      <w:lang w:val="en-US" w:eastAsia="ja-JP"/>
    </w:rPr>
  </w:style>
  <w:style w:type="table" w:customStyle="1" w:styleId="LightShading-Accent11">
    <w:name w:val="Light Shading - Accent 11"/>
    <w:basedOn w:val="TableNormal"/>
    <w:uiPriority w:val="60"/>
    <w:rsid w:val="00837E89"/>
    <w:pPr>
      <w:spacing w:after="0" w:line="240" w:lineRule="auto"/>
    </w:pPr>
    <w:rPr>
      <w:rFonts w:eastAsiaTheme="minorEastAsia"/>
      <w:color w:val="365F91" w:themeColor="accent1" w:themeShade="BF"/>
      <w:lang w:eastAsia="fr-B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7D2CC2"/>
    <w:pPr>
      <w:autoSpaceDE w:val="0"/>
      <w:autoSpaceDN w:val="0"/>
      <w:adjustRightInd w:val="0"/>
      <w:spacing w:after="0" w:line="240" w:lineRule="auto"/>
    </w:pPr>
    <w:rPr>
      <w:rFonts w:ascii="Symbol" w:hAnsi="Symbol" w:cs="Symbol"/>
      <w:color w:val="000000"/>
      <w:sz w:val="24"/>
      <w:szCs w:val="24"/>
    </w:rPr>
  </w:style>
  <w:style w:type="character" w:customStyle="1" w:styleId="ListParagraphChar">
    <w:name w:val="List Paragraph Char"/>
    <w:basedOn w:val="DefaultParagraphFont"/>
    <w:link w:val="ListParagraph"/>
    <w:uiPriority w:val="34"/>
    <w:rsid w:val="00775156"/>
    <w:rPr>
      <w:rFonts w:eastAsiaTheme="minorEastAsia"/>
      <w:color w:val="404040" w:themeColor="text1" w:themeTint="BF"/>
      <w:sz w:val="24"/>
      <w:lang w:val="en-GB" w:eastAsia="fr-BE"/>
    </w:rPr>
  </w:style>
  <w:style w:type="paragraph" w:styleId="FootnoteText">
    <w:name w:val="footnote text"/>
    <w:basedOn w:val="Normal"/>
    <w:link w:val="FootnoteTextChar"/>
    <w:uiPriority w:val="99"/>
    <w:unhideWhenUsed/>
    <w:rsid w:val="00D33B8E"/>
    <w:pPr>
      <w:spacing w:after="0" w:line="240" w:lineRule="auto"/>
    </w:pPr>
    <w:rPr>
      <w:sz w:val="20"/>
      <w:szCs w:val="20"/>
    </w:rPr>
  </w:style>
  <w:style w:type="character" w:customStyle="1" w:styleId="FootnoteTextChar">
    <w:name w:val="Footnote Text Char"/>
    <w:basedOn w:val="DefaultParagraphFont"/>
    <w:link w:val="FootnoteText"/>
    <w:uiPriority w:val="99"/>
    <w:rsid w:val="00D33B8E"/>
    <w:rPr>
      <w:rFonts w:eastAsiaTheme="minorEastAsia"/>
      <w:sz w:val="20"/>
      <w:szCs w:val="20"/>
      <w:lang w:val="en-GB" w:eastAsia="fr-BE"/>
    </w:rPr>
  </w:style>
  <w:style w:type="character" w:styleId="FootnoteReference">
    <w:name w:val="footnote reference"/>
    <w:basedOn w:val="DefaultParagraphFont"/>
    <w:uiPriority w:val="99"/>
    <w:unhideWhenUsed/>
    <w:qFormat/>
    <w:rsid w:val="00D33B8E"/>
    <w:rPr>
      <w:vertAlign w:val="superscript"/>
    </w:rPr>
  </w:style>
  <w:style w:type="table" w:styleId="TableGrid">
    <w:name w:val="Table Grid"/>
    <w:basedOn w:val="TableNormal"/>
    <w:uiPriority w:val="59"/>
    <w:rsid w:val="005E2DCC"/>
    <w:pPr>
      <w:spacing w:after="0" w:line="240" w:lineRule="auto"/>
    </w:pPr>
    <w:rPr>
      <w:rFonts w:ascii="Calibri" w:eastAsia="Calibri" w:hAnsi="Calibri" w:cs="Times New Roman"/>
      <w:sz w:val="20"/>
      <w:szCs w:val="20"/>
      <w:lang w:val="hu-HU"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ListParagraph"/>
    <w:qFormat/>
    <w:rsid w:val="005E2DCC"/>
    <w:pPr>
      <w:numPr>
        <w:numId w:val="3"/>
      </w:numPr>
      <w:pBdr>
        <w:bottom w:val="single" w:sz="4" w:space="1" w:color="130B7B"/>
      </w:pBdr>
      <w:spacing w:after="0" w:line="240" w:lineRule="auto"/>
      <w:ind w:right="425"/>
    </w:pPr>
    <w:rPr>
      <w:rFonts w:ascii="Arial" w:hAnsi="Arial" w:cs="Arial"/>
      <w:b/>
      <w:color w:val="130B7B"/>
      <w:szCs w:val="24"/>
    </w:rPr>
  </w:style>
  <w:style w:type="paragraph" w:customStyle="1" w:styleId="Style2">
    <w:name w:val="Style2"/>
    <w:basedOn w:val="ListParagraph"/>
    <w:link w:val="Style2Char"/>
    <w:qFormat/>
    <w:rsid w:val="005E2DCC"/>
    <w:pPr>
      <w:numPr>
        <w:ilvl w:val="1"/>
        <w:numId w:val="3"/>
      </w:numPr>
      <w:spacing w:after="0" w:line="240" w:lineRule="auto"/>
    </w:pPr>
    <w:rPr>
      <w:rFonts w:ascii="Arial" w:hAnsi="Arial" w:cs="Arial"/>
      <w:b/>
    </w:rPr>
  </w:style>
  <w:style w:type="character" w:customStyle="1" w:styleId="Style2Char">
    <w:name w:val="Style2 Char"/>
    <w:basedOn w:val="ListParagraphChar"/>
    <w:link w:val="Style2"/>
    <w:rsid w:val="005E2DCC"/>
    <w:rPr>
      <w:rFonts w:ascii="Arial" w:eastAsiaTheme="minorEastAsia" w:hAnsi="Arial" w:cs="Arial"/>
      <w:b/>
      <w:color w:val="404040" w:themeColor="text1" w:themeTint="BF"/>
      <w:sz w:val="24"/>
      <w:lang w:val="en-GB" w:eastAsia="fr-BE"/>
    </w:rPr>
  </w:style>
  <w:style w:type="character" w:customStyle="1" w:styleId="A15">
    <w:name w:val="A15"/>
    <w:uiPriority w:val="99"/>
    <w:rsid w:val="00405F70"/>
    <w:rPr>
      <w:rFonts w:ascii="Arial" w:hAnsi="Arial" w:cs="Arial"/>
      <w:b/>
      <w:bCs/>
      <w:color w:val="000000"/>
      <w:sz w:val="100"/>
      <w:szCs w:val="100"/>
    </w:rPr>
  </w:style>
  <w:style w:type="paragraph" w:styleId="Title">
    <w:name w:val="Title"/>
    <w:basedOn w:val="Normal"/>
    <w:next w:val="Normal"/>
    <w:link w:val="TitleChar"/>
    <w:autoRedefine/>
    <w:uiPriority w:val="10"/>
    <w:qFormat/>
    <w:rsid w:val="00743516"/>
    <w:pPr>
      <w:pBdr>
        <w:bottom w:val="single" w:sz="8" w:space="4" w:color="4F81BD" w:themeColor="accent1"/>
      </w:pBdr>
      <w:spacing w:after="300" w:line="240" w:lineRule="auto"/>
      <w:ind w:left="360"/>
      <w:contextualSpacing/>
      <w:jc w:val="center"/>
    </w:pPr>
    <w:rPr>
      <w:rFonts w:asciiTheme="majorHAnsi" w:eastAsiaTheme="majorEastAsia" w:hAnsiTheme="majorHAnsi" w:cstheme="majorBidi"/>
      <w:b/>
      <w:color w:val="365F91" w:themeColor="accent1" w:themeShade="BF"/>
      <w:spacing w:val="5"/>
      <w:kern w:val="28"/>
      <w:sz w:val="40"/>
      <w:szCs w:val="52"/>
    </w:rPr>
  </w:style>
  <w:style w:type="character" w:customStyle="1" w:styleId="TitleChar">
    <w:name w:val="Title Char"/>
    <w:basedOn w:val="DefaultParagraphFont"/>
    <w:link w:val="Title"/>
    <w:uiPriority w:val="10"/>
    <w:rsid w:val="00743516"/>
    <w:rPr>
      <w:rFonts w:asciiTheme="majorHAnsi" w:eastAsiaTheme="majorEastAsia" w:hAnsiTheme="majorHAnsi" w:cstheme="majorBidi"/>
      <w:b/>
      <w:color w:val="365F91" w:themeColor="accent1" w:themeShade="BF"/>
      <w:spacing w:val="5"/>
      <w:kern w:val="28"/>
      <w:sz w:val="40"/>
      <w:szCs w:val="52"/>
      <w:lang w:val="en-GB" w:eastAsia="fr-BE"/>
    </w:rPr>
  </w:style>
  <w:style w:type="character" w:customStyle="1" w:styleId="shorttext">
    <w:name w:val="short_text"/>
    <w:basedOn w:val="DefaultParagraphFont"/>
    <w:rsid w:val="00A72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94051">
      <w:bodyDiv w:val="1"/>
      <w:marLeft w:val="0"/>
      <w:marRight w:val="0"/>
      <w:marTop w:val="0"/>
      <w:marBottom w:val="0"/>
      <w:divBdr>
        <w:top w:val="none" w:sz="0" w:space="0" w:color="auto"/>
        <w:left w:val="none" w:sz="0" w:space="0" w:color="auto"/>
        <w:bottom w:val="none" w:sz="0" w:space="0" w:color="auto"/>
        <w:right w:val="none" w:sz="0" w:space="0" w:color="auto"/>
      </w:divBdr>
    </w:div>
    <w:div w:id="1443769817">
      <w:bodyDiv w:val="1"/>
      <w:marLeft w:val="0"/>
      <w:marRight w:val="0"/>
      <w:marTop w:val="0"/>
      <w:marBottom w:val="0"/>
      <w:divBdr>
        <w:top w:val="none" w:sz="0" w:space="0" w:color="auto"/>
        <w:left w:val="none" w:sz="0" w:space="0" w:color="auto"/>
        <w:bottom w:val="none" w:sz="0" w:space="0" w:color="auto"/>
        <w:right w:val="none" w:sz="0" w:space="0" w:color="auto"/>
      </w:divBdr>
    </w:div>
    <w:div w:id="1838767388">
      <w:bodyDiv w:val="1"/>
      <w:marLeft w:val="0"/>
      <w:marRight w:val="0"/>
      <w:marTop w:val="0"/>
      <w:marBottom w:val="0"/>
      <w:divBdr>
        <w:top w:val="none" w:sz="0" w:space="0" w:color="auto"/>
        <w:left w:val="none" w:sz="0" w:space="0" w:color="auto"/>
        <w:bottom w:val="none" w:sz="0" w:space="0" w:color="auto"/>
        <w:right w:val="none" w:sz="0" w:space="0" w:color="auto"/>
      </w:divBdr>
    </w:div>
    <w:div w:id="206008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e-sme.org" TargetMode="External"/><Relationship Id="rId18" Type="http://schemas.openxmlformats.org/officeDocument/2006/relationships/hyperlink" Target="file:///C:\Users\sca\Desktop\&#8226;%09http:\ec.europa.eu\social\main.jsp%3fcatId=1138" TargetMode="External"/><Relationship Id="rId26" Type="http://schemas.openxmlformats.org/officeDocument/2006/relationships/hyperlink" Target="http://tbinternet.ohchr.org/_layouts/treatybodyexternal/TBSearch.aspx?Lang=en&amp;TreatyID=4&amp;DocTypeID=29" TargetMode="External"/><Relationship Id="rId3" Type="http://schemas.openxmlformats.org/officeDocument/2006/relationships/styles" Target="styles.xml"/><Relationship Id="rId21" Type="http://schemas.openxmlformats.org/officeDocument/2006/relationships/hyperlink" Target="http://www.cbm.org/article/downloads/82788/Guidelines_for_data_collection_tools.pdf"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mhe-sme.org" TargetMode="External"/><Relationship Id="rId17" Type="http://schemas.openxmlformats.org/officeDocument/2006/relationships/hyperlink" Target="http://drpi.research.yorku.ca/8th-conference-of-states-parties-to-the-crpd-9-11-june-2015/" TargetMode="External"/><Relationship Id="rId25" Type="http://schemas.openxmlformats.org/officeDocument/2006/relationships/hyperlink" Target="http://ec.europa.eu/justice/discrimination/files/swd_2014_182_en.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oe.org/joe/1999april/tt1.php" TargetMode="External"/><Relationship Id="rId20" Type="http://schemas.openxmlformats.org/officeDocument/2006/relationships/hyperlink" Target="http://www.easpd.eu/sites/default/files/sites/default/files/reaching_out_newsletter_final_1.pdf" TargetMode="External"/><Relationship Id="rId29" Type="http://schemas.openxmlformats.org/officeDocument/2006/relationships/hyperlink" Target="http://www.un.org/disabilities/default.asp?id=16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f-feph.org/" TargetMode="External"/><Relationship Id="rId24" Type="http://schemas.openxmlformats.org/officeDocument/2006/relationships/hyperlink" Target="http://www.iaslt.ie/newFront/Documents/PublicInformation/Alternative%20and%20Supported%20Communication/Make-it-Easy-December-2011.pdf"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meraldinsight.com/doi/abs/10.1108/13673270610670830" TargetMode="External"/><Relationship Id="rId23" Type="http://schemas.openxmlformats.org/officeDocument/2006/relationships/hyperlink" Target="http://www.who.int/disabilities/media/events/crpd_indicators_concept.pdf" TargetMode="External"/><Relationship Id="rId28" Type="http://schemas.openxmlformats.org/officeDocument/2006/relationships/hyperlink" Target="http://www.un.org/disabilities/documents/convention/convoptprot-e.pdf" TargetMode="External"/><Relationship Id="rId10" Type="http://schemas.openxmlformats.org/officeDocument/2006/relationships/hyperlink" Target="http://www.incusion-europe.org" TargetMode="External"/><Relationship Id="rId19" Type="http://schemas.openxmlformats.org/officeDocument/2006/relationships/hyperlink" Target="http://www.easpd.eu/sites/default/files/sites/default/files/reaching_out_newsletter_final_1.pdf"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clusion-europe.org" TargetMode="External"/><Relationship Id="rId14" Type="http://schemas.openxmlformats.org/officeDocument/2006/relationships/hyperlink" Target="http://www.rgd.ca/database/files/library/RGD_AccessAbility_Handbook.pdf" TargetMode="External"/><Relationship Id="rId22" Type="http://schemas.openxmlformats.org/officeDocument/2006/relationships/hyperlink" Target="http://350dominicana.org/childcare-products/the-role-of-collaboration-in-organizations" TargetMode="External"/><Relationship Id="rId27" Type="http://schemas.openxmlformats.org/officeDocument/2006/relationships/hyperlink" Target="http://www.eesc.europa.eu/?i=portal.en.civil-society" TargetMode="External"/><Relationship Id="rId30" Type="http://schemas.openxmlformats.org/officeDocument/2006/relationships/hyperlink" Target="https://www.w3.org/TR/WCAG20"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b2c4f1.JPG@b6e9c883.48aed167" TargetMode="External"/><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hiproweb.org/fileadmin/cdroms/Kit_Formation_Services/documents/Module-6/6-1_Introduction_to_Module_6.do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EE111BF6B74A819BD25113DB7A63CE"/>
        <w:category>
          <w:name w:val="General"/>
          <w:gallery w:val="placeholder"/>
        </w:category>
        <w:types>
          <w:type w:val="bbPlcHdr"/>
        </w:types>
        <w:behaviors>
          <w:behavior w:val="content"/>
        </w:behaviors>
        <w:guid w:val="{6064E94D-2619-4398-899A-D59358F18483}"/>
      </w:docPartPr>
      <w:docPartBody>
        <w:p w:rsidR="00B22482" w:rsidRDefault="004D67CE" w:rsidP="004D67CE">
          <w:pPr>
            <w:pStyle w:val="77EE111BF6B74A819BD25113DB7A63CE"/>
          </w:pPr>
          <w:r w:rsidRPr="007E6D61">
            <w:rPr>
              <w:rStyle w:val="Heading1Char"/>
            </w:rPr>
            <w:t>D-LoT E-Learning Course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4D67CE"/>
    <w:rsid w:val="00006423"/>
    <w:rsid w:val="001F2496"/>
    <w:rsid w:val="00323D20"/>
    <w:rsid w:val="004D67CE"/>
    <w:rsid w:val="004E288F"/>
    <w:rsid w:val="005A501E"/>
    <w:rsid w:val="006419E7"/>
    <w:rsid w:val="00646A8D"/>
    <w:rsid w:val="00673234"/>
    <w:rsid w:val="00750018"/>
    <w:rsid w:val="00770547"/>
    <w:rsid w:val="00864272"/>
    <w:rsid w:val="00B22482"/>
    <w:rsid w:val="00B76EE4"/>
    <w:rsid w:val="00B86B64"/>
    <w:rsid w:val="00C72B59"/>
    <w:rsid w:val="00DB1432"/>
    <w:rsid w:val="00EA1928"/>
    <w:rsid w:val="00EC6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D20"/>
  </w:style>
  <w:style w:type="paragraph" w:styleId="Heading1">
    <w:name w:val="heading 1"/>
    <w:basedOn w:val="Normal"/>
    <w:next w:val="Normal"/>
    <w:link w:val="Heading1Char"/>
    <w:qFormat/>
    <w:rsid w:val="004D67CE"/>
    <w:pPr>
      <w:keepNext/>
      <w:keepLines/>
      <w:spacing w:before="480" w:after="0"/>
      <w:jc w:val="both"/>
      <w:outlineLvl w:val="0"/>
    </w:pPr>
    <w:rPr>
      <w:rFonts w:asciiTheme="majorHAnsi" w:eastAsiaTheme="majorEastAsia" w:hAnsiTheme="majorHAnsi" w:cstheme="majorBidi"/>
      <w:b/>
      <w:bCs/>
      <w:color w:val="365F91" w:themeColor="accent1" w:themeShade="BF"/>
      <w:sz w:val="28"/>
      <w:szCs w:val="28"/>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01BAB8FB84488687621E55DE921A04">
    <w:name w:val="EF01BAB8FB84488687621E55DE921A04"/>
    <w:rsid w:val="004D67CE"/>
  </w:style>
  <w:style w:type="character" w:styleId="PlaceholderText">
    <w:name w:val="Placeholder Text"/>
    <w:basedOn w:val="DefaultParagraphFont"/>
    <w:uiPriority w:val="99"/>
    <w:semiHidden/>
    <w:rsid w:val="004D67CE"/>
    <w:rPr>
      <w:color w:val="808080"/>
    </w:rPr>
  </w:style>
  <w:style w:type="character" w:customStyle="1" w:styleId="Heading1Char">
    <w:name w:val="Heading 1 Char"/>
    <w:basedOn w:val="DefaultParagraphFont"/>
    <w:link w:val="Heading1"/>
    <w:rsid w:val="004D67CE"/>
    <w:rPr>
      <w:rFonts w:asciiTheme="majorHAnsi" w:eastAsiaTheme="majorEastAsia" w:hAnsiTheme="majorHAnsi" w:cstheme="majorBidi"/>
      <w:b/>
      <w:bCs/>
      <w:color w:val="365F91" w:themeColor="accent1" w:themeShade="BF"/>
      <w:sz w:val="28"/>
      <w:szCs w:val="28"/>
      <w:lang w:eastAsia="fr-BE"/>
    </w:rPr>
  </w:style>
  <w:style w:type="paragraph" w:customStyle="1" w:styleId="6EA48DD6C53544D298000F433AA167F0">
    <w:name w:val="6EA48DD6C53544D298000F433AA167F0"/>
    <w:rsid w:val="004D67CE"/>
    <w:pPr>
      <w:tabs>
        <w:tab w:val="center" w:pos="4536"/>
        <w:tab w:val="right" w:pos="9072"/>
      </w:tabs>
      <w:spacing w:after="0" w:line="240" w:lineRule="auto"/>
      <w:jc w:val="both"/>
    </w:pPr>
    <w:rPr>
      <w:lang w:eastAsia="fr-BE"/>
    </w:rPr>
  </w:style>
  <w:style w:type="paragraph" w:customStyle="1" w:styleId="77EE111BF6B74A819BD25113DB7A63CE">
    <w:name w:val="77EE111BF6B74A819BD25113DB7A63CE"/>
    <w:rsid w:val="004D67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D9E88-F002-41AC-B366-621FD3AB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28277</Words>
  <Characters>16118</Characters>
  <Application>Microsoft Office Word</Application>
  <DocSecurity>0</DocSecurity>
  <Lines>134</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Event title</vt:lpstr>
      <vt:lpstr/>
    </vt:vector>
  </TitlesOfParts>
  <Company>HP</Company>
  <LinksUpToDate>false</LinksUpToDate>
  <CharactersWithSpaces>44307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title</dc:title>
  <dc:creator>Stefana Cankova [EASPD]</dc:creator>
  <cp:lastModifiedBy>lenovo</cp:lastModifiedBy>
  <cp:revision>2</cp:revision>
  <cp:lastPrinted>2016-02-24T14:21:00Z</cp:lastPrinted>
  <dcterms:created xsi:type="dcterms:W3CDTF">2022-06-08T09:48:00Z</dcterms:created>
  <dcterms:modified xsi:type="dcterms:W3CDTF">2022-06-08T09:48:00Z</dcterms:modified>
</cp:coreProperties>
</file>