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40290988"/>
    <w:bookmarkStart w:id="1" w:name="_GoBack"/>
    <w:bookmarkEnd w:id="1"/>
    <w:p w:rsidR="007E6D61" w:rsidRPr="003D6332" w:rsidRDefault="00611D64" w:rsidP="008F2603">
      <w:pPr>
        <w:pStyle w:val="Heading1"/>
        <w:spacing w:before="0" w:line="240" w:lineRule="auto"/>
        <w:jc w:val="center"/>
        <w:rPr>
          <w:rFonts w:asciiTheme="minorHAnsi" w:hAnsiTheme="minorHAnsi"/>
          <w:lang w:val="lv-LV"/>
        </w:rPr>
      </w:pPr>
      <w:sdt>
        <w:sdtPr>
          <w:rPr>
            <w:noProof/>
            <w:lang w:val="lv-LV" w:eastAsia="en-GB"/>
          </w:rPr>
          <w:id w:val="554591831"/>
          <w:placeholder>
            <w:docPart w:val="77EE111BF6B74A819BD25113DB7A63CE"/>
          </w:placeholder>
          <w:showingPlcHdr/>
        </w:sdtPr>
        <w:sdtEndPr/>
        <w:sdtContent>
          <w:r w:rsidR="007E6D61" w:rsidRPr="003D6332">
            <w:rPr>
              <w:rStyle w:val="Heading1Char"/>
              <w:b/>
              <w:sz w:val="32"/>
              <w:szCs w:val="32"/>
              <w:lang w:val="lv-LV"/>
            </w:rPr>
            <w:t>D-LoT E-Learning Course</w:t>
          </w:r>
        </w:sdtContent>
      </w:sdt>
      <w:bookmarkEnd w:id="0"/>
    </w:p>
    <w:p w:rsidR="00331EEF" w:rsidRPr="003D6332" w:rsidRDefault="007E6D61" w:rsidP="002E423E">
      <w:pPr>
        <w:pStyle w:val="Heading1"/>
        <w:spacing w:after="100" w:afterAutospacing="1" w:line="240" w:lineRule="auto"/>
        <w:jc w:val="center"/>
        <w:rPr>
          <w:rFonts w:asciiTheme="minorHAnsi" w:hAnsiTheme="minorHAnsi"/>
          <w:lang w:val="lv-LV"/>
        </w:rPr>
      </w:pPr>
      <w:bookmarkStart w:id="2" w:name="_Toc440290989"/>
      <w:r w:rsidRPr="003D6332">
        <w:rPr>
          <w:rFonts w:asciiTheme="minorHAnsi" w:hAnsiTheme="minorHAnsi"/>
          <w:lang w:val="lv-LV"/>
        </w:rPr>
        <w:t>M</w:t>
      </w:r>
      <w:r w:rsidR="000B006E" w:rsidRPr="003D6332">
        <w:rPr>
          <w:rFonts w:asciiTheme="minorHAnsi" w:hAnsiTheme="minorHAnsi"/>
          <w:lang w:val="lv-LV"/>
        </w:rPr>
        <w:t>ODULIS</w:t>
      </w:r>
      <w:r w:rsidR="005E2DCC" w:rsidRPr="003D6332">
        <w:rPr>
          <w:rFonts w:asciiTheme="minorHAnsi" w:hAnsiTheme="minorHAnsi"/>
          <w:lang w:val="lv-LV"/>
        </w:rPr>
        <w:t xml:space="preserve"> I</w:t>
      </w:r>
      <w:r w:rsidR="009D2907" w:rsidRPr="003D6332">
        <w:rPr>
          <w:rFonts w:asciiTheme="minorHAnsi" w:hAnsiTheme="minorHAnsi"/>
          <w:lang w:val="lv-LV"/>
        </w:rPr>
        <w:t>I</w:t>
      </w:r>
      <w:bookmarkEnd w:id="2"/>
    </w:p>
    <w:p w:rsidR="005E2DCC" w:rsidRPr="003D6332" w:rsidRDefault="00BF2ADE" w:rsidP="005813ED">
      <w:pPr>
        <w:pStyle w:val="Title"/>
        <w:rPr>
          <w:lang w:val="lv-LV"/>
        </w:rPr>
      </w:pPr>
      <w:bookmarkStart w:id="3" w:name="_Toc440290990"/>
      <w:r w:rsidRPr="003D6332">
        <w:rPr>
          <w:lang w:val="lv-LV"/>
        </w:rPr>
        <w:t xml:space="preserve">SOCIĀLO PAKALPOJUMU UN POLITIKU ATTĪSTĪBA EIROPĀ </w:t>
      </w:r>
      <w:bookmarkEnd w:id="3"/>
    </w:p>
    <w:sdt>
      <w:sdtPr>
        <w:rPr>
          <w:rFonts w:asciiTheme="minorHAnsi" w:eastAsiaTheme="minorEastAsia" w:hAnsiTheme="minorHAnsi" w:cstheme="minorBidi"/>
          <w:b w:val="0"/>
          <w:bCs w:val="0"/>
          <w:color w:val="404040" w:themeColor="text1" w:themeTint="BF"/>
          <w:sz w:val="22"/>
          <w:szCs w:val="22"/>
          <w:lang w:val="lv-LV" w:eastAsia="fr-BE"/>
        </w:rPr>
        <w:id w:val="1453360721"/>
        <w:docPartObj>
          <w:docPartGallery w:val="Table of Contents"/>
          <w:docPartUnique/>
        </w:docPartObj>
      </w:sdtPr>
      <w:sdtEndPr>
        <w:rPr>
          <w:noProof/>
          <w:sz w:val="24"/>
        </w:rPr>
      </w:sdtEndPr>
      <w:sdtContent>
        <w:p w:rsidR="00926120" w:rsidRPr="003D6332" w:rsidRDefault="000B006E" w:rsidP="008F2603">
          <w:pPr>
            <w:pStyle w:val="TOCHeading"/>
            <w:spacing w:before="0"/>
            <w:rPr>
              <w:lang w:val="lv-LV"/>
            </w:rPr>
          </w:pPr>
          <w:r w:rsidRPr="003D6332">
            <w:rPr>
              <w:lang w:val="lv-LV"/>
            </w:rPr>
            <w:t>Saturs</w:t>
          </w:r>
        </w:p>
        <w:p w:rsidR="00C41B70" w:rsidRPr="003D6332" w:rsidRDefault="00067C2F" w:rsidP="00B86D69">
          <w:pPr>
            <w:pStyle w:val="TOC1"/>
            <w:tabs>
              <w:tab w:val="right" w:leader="dot" w:pos="9062"/>
            </w:tabs>
            <w:spacing w:after="0"/>
            <w:rPr>
              <w:noProof/>
              <w:color w:val="auto"/>
              <w:lang w:val="lv-LV" w:eastAsia="en-GB"/>
            </w:rPr>
          </w:pPr>
          <w:r w:rsidRPr="003D6332">
            <w:rPr>
              <w:lang w:val="lv-LV"/>
            </w:rPr>
            <w:fldChar w:fldCharType="begin"/>
          </w:r>
          <w:r w:rsidR="00926120" w:rsidRPr="003D6332">
            <w:rPr>
              <w:lang w:val="lv-LV"/>
            </w:rPr>
            <w:instrText xml:space="preserve"> TOC \o "1-3" \h \z \u </w:instrText>
          </w:r>
          <w:r w:rsidRPr="003D6332">
            <w:rPr>
              <w:lang w:val="lv-LV"/>
            </w:rPr>
            <w:fldChar w:fldCharType="separate"/>
          </w:r>
          <w:hyperlink w:anchor="_Toc440290992" w:history="1">
            <w:r w:rsidR="000B006E" w:rsidRPr="003D6332">
              <w:rPr>
                <w:rStyle w:val="Hyperlink"/>
                <w:noProof/>
                <w:lang w:val="lv-LV"/>
              </w:rPr>
              <w:t>MĀCĪBU PROCESA REZULTĀTI</w:t>
            </w:r>
            <w:r w:rsidR="00C41B70" w:rsidRPr="003D6332">
              <w:rPr>
                <w:rStyle w:val="Hyperlink"/>
                <w:noProof/>
                <w:lang w:val="lv-LV"/>
              </w:rPr>
              <w:t>:</w:t>
            </w:r>
            <w:r w:rsidR="00C41B70" w:rsidRPr="003D6332">
              <w:rPr>
                <w:noProof/>
                <w:webHidden/>
                <w:lang w:val="lv-LV"/>
              </w:rPr>
              <w:tab/>
            </w:r>
            <w:r w:rsidRPr="003D6332">
              <w:rPr>
                <w:noProof/>
                <w:webHidden/>
                <w:lang w:val="lv-LV"/>
              </w:rPr>
              <w:fldChar w:fldCharType="begin"/>
            </w:r>
            <w:r w:rsidR="00C41B70" w:rsidRPr="003D6332">
              <w:rPr>
                <w:noProof/>
                <w:webHidden/>
                <w:lang w:val="lv-LV"/>
              </w:rPr>
              <w:instrText xml:space="preserve"> PAGEREF _Toc440290992 \h </w:instrText>
            </w:r>
            <w:r w:rsidRPr="003D6332">
              <w:rPr>
                <w:noProof/>
                <w:webHidden/>
                <w:lang w:val="lv-LV"/>
              </w:rPr>
            </w:r>
            <w:r w:rsidRPr="003D6332">
              <w:rPr>
                <w:noProof/>
                <w:webHidden/>
                <w:lang w:val="lv-LV"/>
              </w:rPr>
              <w:fldChar w:fldCharType="separate"/>
            </w:r>
            <w:r w:rsidR="00275DA3" w:rsidRPr="003D6332">
              <w:rPr>
                <w:noProof/>
                <w:webHidden/>
                <w:lang w:val="lv-LV"/>
              </w:rPr>
              <w:t>2</w:t>
            </w:r>
            <w:r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0993" w:history="1">
            <w:r w:rsidR="000B006E" w:rsidRPr="003D6332">
              <w:rPr>
                <w:rStyle w:val="Hyperlink"/>
                <w:noProof/>
                <w:lang w:val="lv-LV"/>
              </w:rPr>
              <w:t>GALVENĀS MODUĻA ATZIŅAS</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_Toc440290993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2</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0994" w:history="1">
            <w:r w:rsidR="00C41B70" w:rsidRPr="003D6332">
              <w:rPr>
                <w:rStyle w:val="Hyperlink"/>
                <w:noProof/>
                <w:lang w:val="lv-LV"/>
              </w:rPr>
              <w:t xml:space="preserve">II.1 </w:t>
            </w:r>
            <w:r w:rsidR="000B006E" w:rsidRPr="003D6332">
              <w:rPr>
                <w:lang w:val="lv-LV"/>
              </w:rPr>
              <w:t>Sociālo pakalpojumu mainīgā loma</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_Toc440290994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2</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0995" w:history="1">
            <w:r w:rsidR="00C41B70" w:rsidRPr="003D6332">
              <w:rPr>
                <w:rStyle w:val="Hyperlink"/>
                <w:noProof/>
                <w:lang w:val="lv-LV"/>
              </w:rPr>
              <w:t xml:space="preserve">II.1.1 </w:t>
            </w:r>
            <w:r w:rsidR="000B006E" w:rsidRPr="003D6332">
              <w:rPr>
                <w:lang w:val="lv-LV"/>
              </w:rPr>
              <w:t>Sociālo pakalpojumu definīcija Eiropā</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_Toc440290995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2</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0996" w:history="1">
            <w:r w:rsidR="00C41B70" w:rsidRPr="003D6332">
              <w:rPr>
                <w:rStyle w:val="Hyperlink"/>
                <w:noProof/>
                <w:lang w:val="lv-LV"/>
              </w:rPr>
              <w:t xml:space="preserve">II.1.2 </w:t>
            </w:r>
            <w:r w:rsidR="000B006E" w:rsidRPr="003D6332">
              <w:rPr>
                <w:lang w:val="lv-LV"/>
              </w:rPr>
              <w:t>Īsa cilvēktiesību vēsture</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_Toc440290996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3</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0997" w:history="1">
            <w:r w:rsidR="00C41B70" w:rsidRPr="003D6332">
              <w:rPr>
                <w:rStyle w:val="Hyperlink"/>
                <w:noProof/>
                <w:lang w:val="lv-LV"/>
              </w:rPr>
              <w:t xml:space="preserve">II.1.3 </w:t>
            </w:r>
            <w:r w:rsidR="000B006E" w:rsidRPr="003D6332">
              <w:rPr>
                <w:lang w:val="lv-LV"/>
              </w:rPr>
              <w:t>Cilvēktiesību ietekme uz sociāliem pakalpojumiem</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_Toc440290997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4</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0998" w:history="1">
            <w:r w:rsidR="00C41B70" w:rsidRPr="003D6332">
              <w:rPr>
                <w:rStyle w:val="Hyperlink"/>
                <w:noProof/>
                <w:lang w:val="lv-LV"/>
              </w:rPr>
              <w:t>II.1.4</w:t>
            </w:r>
            <w:r w:rsidR="000B006E" w:rsidRPr="003D6332">
              <w:rPr>
                <w:lang w:val="lv-LV"/>
              </w:rPr>
              <w:t xml:space="preserve"> ANO Konvencijas ieviešana caur sociāliem pakalpojumiem</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_Toc440290998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5</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0999" w:history="1">
            <w:r w:rsidR="00C41B70" w:rsidRPr="003D6332">
              <w:rPr>
                <w:rStyle w:val="Hyperlink"/>
                <w:noProof/>
                <w:lang w:val="lv-LV"/>
              </w:rPr>
              <w:t xml:space="preserve">II.2 </w:t>
            </w:r>
            <w:r w:rsidR="000B006E" w:rsidRPr="003D6332">
              <w:rPr>
                <w:rStyle w:val="Hyperlink"/>
                <w:noProof/>
                <w:lang w:val="lv-LV"/>
              </w:rPr>
              <w:t>Sociālo pakalpojumu attīstība</w:t>
            </w:r>
            <w:r w:rsidR="00C41B70" w:rsidRPr="003D6332">
              <w:rPr>
                <w:noProof/>
                <w:webHidden/>
                <w:lang w:val="lv-LV"/>
              </w:rPr>
              <w:tab/>
            </w:r>
            <w:r w:rsidR="000B006E" w:rsidRPr="003D6332">
              <w:rPr>
                <w:noProof/>
                <w:webHidden/>
                <w:lang w:val="lv-LV"/>
              </w:rPr>
              <w:t>7</w:t>
            </w:r>
          </w:hyperlink>
        </w:p>
        <w:p w:rsidR="00C41B70" w:rsidRPr="003D6332" w:rsidRDefault="00611D64" w:rsidP="00B86D69">
          <w:pPr>
            <w:pStyle w:val="TOC1"/>
            <w:tabs>
              <w:tab w:val="right" w:leader="dot" w:pos="9062"/>
            </w:tabs>
            <w:spacing w:after="0"/>
            <w:rPr>
              <w:noProof/>
              <w:color w:val="auto"/>
              <w:lang w:val="lv-LV" w:eastAsia="en-GB"/>
            </w:rPr>
          </w:pPr>
          <w:hyperlink w:anchor="_Toc440291000" w:history="1">
            <w:r w:rsidR="00C41B70" w:rsidRPr="003D6332">
              <w:rPr>
                <w:rStyle w:val="Hyperlink"/>
                <w:noProof/>
                <w:lang w:val="lv-LV"/>
              </w:rPr>
              <w:t xml:space="preserve">II.2.1 </w:t>
            </w:r>
            <w:r w:rsidR="000B006E" w:rsidRPr="003D6332">
              <w:rPr>
                <w:lang w:val="lv-LV"/>
              </w:rPr>
              <w:t>ANO Konvencijas sekas attiecībā uz sociālajiem pakalpojumiem</w:t>
            </w:r>
            <w:r w:rsidR="00C41B70" w:rsidRPr="003D6332">
              <w:rPr>
                <w:noProof/>
                <w:webHidden/>
                <w:lang w:val="lv-LV"/>
              </w:rPr>
              <w:tab/>
            </w:r>
            <w:r w:rsidR="000B006E" w:rsidRPr="003D6332">
              <w:rPr>
                <w:noProof/>
                <w:webHidden/>
                <w:lang w:val="lv-LV"/>
              </w:rPr>
              <w:t>7</w:t>
            </w:r>
          </w:hyperlink>
        </w:p>
        <w:p w:rsidR="00C41B70" w:rsidRPr="003D6332" w:rsidRDefault="00611D64" w:rsidP="00B86D69">
          <w:pPr>
            <w:pStyle w:val="TOC1"/>
            <w:tabs>
              <w:tab w:val="right" w:leader="dot" w:pos="9062"/>
            </w:tabs>
            <w:spacing w:after="0"/>
            <w:rPr>
              <w:noProof/>
              <w:color w:val="auto"/>
              <w:lang w:val="lv-LV" w:eastAsia="en-GB"/>
            </w:rPr>
          </w:pPr>
          <w:hyperlink w:anchor="_Toc440291001" w:history="1">
            <w:r w:rsidR="00C41B70" w:rsidRPr="003D6332">
              <w:rPr>
                <w:rStyle w:val="Hyperlink"/>
                <w:noProof/>
                <w:lang w:val="lv-LV"/>
              </w:rPr>
              <w:t xml:space="preserve">II.2.2 </w:t>
            </w:r>
            <w:r w:rsidR="000B006E" w:rsidRPr="003D6332">
              <w:rPr>
                <w:lang w:val="lv-LV"/>
              </w:rPr>
              <w:t>Izpratne par sociālo pakalpojumu kvalitāti</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_Toc440291001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8</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1002" w:history="1">
            <w:r w:rsidR="00C41B70" w:rsidRPr="003D6332">
              <w:rPr>
                <w:rStyle w:val="Hyperlink"/>
                <w:noProof/>
                <w:lang w:val="lv-LV"/>
              </w:rPr>
              <w:t>II.2.3 Soci</w:t>
            </w:r>
            <w:r w:rsidR="000B006E" w:rsidRPr="003D6332">
              <w:rPr>
                <w:rStyle w:val="Hyperlink"/>
                <w:noProof/>
                <w:lang w:val="lv-LV"/>
              </w:rPr>
              <w:t>ālie pakalpojumi kā risinājums</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_Toc440291002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9</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1003" w:history="1">
            <w:r w:rsidR="00C41B70" w:rsidRPr="003D6332">
              <w:rPr>
                <w:rStyle w:val="Hyperlink"/>
                <w:noProof/>
                <w:lang w:val="lv-LV"/>
              </w:rPr>
              <w:t xml:space="preserve">II.3 </w:t>
            </w:r>
            <w:r w:rsidR="000B006E" w:rsidRPr="003D6332">
              <w:rPr>
                <w:lang w:val="lv-LV"/>
              </w:rPr>
              <w:t>Pašreizējā sociālo pakalpojumu situācija Eiropā</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_Toc440291003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9</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1004" w:history="1">
            <w:r w:rsidR="00C41B70" w:rsidRPr="003D6332">
              <w:rPr>
                <w:rStyle w:val="Hyperlink"/>
                <w:noProof/>
                <w:lang w:val="lv-LV"/>
              </w:rPr>
              <w:t xml:space="preserve">II.3.1 </w:t>
            </w:r>
            <w:r w:rsidR="000B006E" w:rsidRPr="003D6332">
              <w:rPr>
                <w:rStyle w:val="Hyperlink"/>
                <w:noProof/>
                <w:lang w:val="lv-LV"/>
              </w:rPr>
              <w:t>Labklājības modeļu dažādība</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_Toc440291004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9</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1005" w:history="1">
            <w:r w:rsidR="00C41B70" w:rsidRPr="003D6332">
              <w:rPr>
                <w:rStyle w:val="Hyperlink"/>
                <w:noProof/>
                <w:lang w:val="lv-LV"/>
              </w:rPr>
              <w:t xml:space="preserve">II.3.2 </w:t>
            </w:r>
            <w:r w:rsidR="000B006E" w:rsidRPr="003D6332">
              <w:rPr>
                <w:lang w:val="lv-LV"/>
              </w:rPr>
              <w:t>Dažādas sistēmas nenozīmē dažādas problēmas</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_Toc440291005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10</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1006" w:history="1">
            <w:r w:rsidR="00C41B70" w:rsidRPr="003D6332">
              <w:rPr>
                <w:rStyle w:val="Hyperlink"/>
                <w:noProof/>
                <w:lang w:val="lv-LV"/>
              </w:rPr>
              <w:t xml:space="preserve">III.3. </w:t>
            </w:r>
            <w:r w:rsidR="000B006E" w:rsidRPr="003D6332">
              <w:rPr>
                <w:lang w:val="lv-LV"/>
              </w:rPr>
              <w:t>Kopējie izaicinājumi sociālajiem pakalpojumiem Eiropā</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_Toc440291006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11</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1007" w:history="1">
            <w:r w:rsidR="00C41B70" w:rsidRPr="003D6332">
              <w:rPr>
                <w:rStyle w:val="Hyperlink"/>
                <w:noProof/>
                <w:lang w:val="lv-LV"/>
              </w:rPr>
              <w:t>II.4 Europ</w:t>
            </w:r>
            <w:r w:rsidR="000B006E" w:rsidRPr="003D6332">
              <w:rPr>
                <w:rStyle w:val="Hyperlink"/>
                <w:noProof/>
                <w:lang w:val="lv-LV"/>
              </w:rPr>
              <w:t>as risinājumi Eiropas problēmām</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_Toc440291007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12</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1008" w:history="1">
            <w:r w:rsidR="00C41B70" w:rsidRPr="003D6332">
              <w:rPr>
                <w:rStyle w:val="Hyperlink"/>
                <w:noProof/>
                <w:lang w:val="lv-LV"/>
              </w:rPr>
              <w:t xml:space="preserve">II.4.1 </w:t>
            </w:r>
            <w:r w:rsidR="000B006E" w:rsidRPr="003D6332">
              <w:rPr>
                <w:lang w:val="lv-LV"/>
              </w:rPr>
              <w:t>Eiropas Padomes sniegtie risinājumi</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_Toc440291008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12</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1009" w:history="1">
            <w:r w:rsidR="00C41B70" w:rsidRPr="003D6332">
              <w:rPr>
                <w:rStyle w:val="Hyperlink"/>
                <w:noProof/>
                <w:lang w:val="lv-LV"/>
              </w:rPr>
              <w:t xml:space="preserve">II.4.2 </w:t>
            </w:r>
            <w:r w:rsidR="000B006E" w:rsidRPr="003D6332">
              <w:rPr>
                <w:rStyle w:val="Hyperlink"/>
                <w:noProof/>
                <w:lang w:val="lv-LV"/>
              </w:rPr>
              <w:t>Risinājumi Eiropas Savienības līmenī</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_Toc440291009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13</w:t>
            </w:r>
            <w:r w:rsidR="00067C2F" w:rsidRPr="003D6332">
              <w:rPr>
                <w:noProof/>
                <w:webHidden/>
                <w:lang w:val="lv-LV"/>
              </w:rPr>
              <w:fldChar w:fldCharType="end"/>
            </w:r>
          </w:hyperlink>
        </w:p>
        <w:p w:rsidR="00C41B70" w:rsidRPr="003D6332" w:rsidRDefault="00611D64" w:rsidP="00B86D69">
          <w:pPr>
            <w:pStyle w:val="TOC1"/>
            <w:tabs>
              <w:tab w:val="right" w:leader="dot" w:pos="9062"/>
            </w:tabs>
            <w:spacing w:after="0"/>
            <w:rPr>
              <w:noProof/>
              <w:color w:val="auto"/>
              <w:lang w:val="lv-LV" w:eastAsia="en-GB"/>
            </w:rPr>
          </w:pPr>
          <w:hyperlink w:anchor="_Toc440291010" w:history="1">
            <w:r w:rsidR="000B006E" w:rsidRPr="003D6332">
              <w:rPr>
                <w:rStyle w:val="Hyperlink"/>
                <w:noProof/>
                <w:lang w:val="lv-LV"/>
              </w:rPr>
              <w:t>BIBLIOGRĀFIJA</w:t>
            </w:r>
            <w:r w:rsidR="00C41B70" w:rsidRPr="003D6332">
              <w:rPr>
                <w:rStyle w:val="Hyperlink"/>
                <w:noProof/>
                <w:lang w:val="lv-LV"/>
              </w:rPr>
              <w:t>/</w:t>
            </w:r>
            <w:r w:rsidR="000B006E" w:rsidRPr="003D6332">
              <w:rPr>
                <w:rStyle w:val="Hyperlink"/>
                <w:noProof/>
                <w:lang w:val="lv-LV"/>
              </w:rPr>
              <w:t>IETEICAMĀ LITERATŪRA</w:t>
            </w:r>
            <w:r w:rsidR="00C41B70" w:rsidRPr="003D6332">
              <w:rPr>
                <w:noProof/>
                <w:webHidden/>
                <w:lang w:val="lv-LV"/>
              </w:rPr>
              <w:tab/>
            </w:r>
            <w:r w:rsidR="00067C2F" w:rsidRPr="003D6332">
              <w:rPr>
                <w:noProof/>
                <w:webHidden/>
                <w:lang w:val="lv-LV"/>
              </w:rPr>
              <w:fldChar w:fldCharType="begin"/>
            </w:r>
            <w:r w:rsidR="00C41B70" w:rsidRPr="003D6332">
              <w:rPr>
                <w:noProof/>
                <w:webHidden/>
                <w:lang w:val="lv-LV"/>
              </w:rPr>
              <w:instrText xml:space="preserve"> PAGEREF _Toc440291010 \h </w:instrText>
            </w:r>
            <w:r w:rsidR="00067C2F" w:rsidRPr="003D6332">
              <w:rPr>
                <w:noProof/>
                <w:webHidden/>
                <w:lang w:val="lv-LV"/>
              </w:rPr>
            </w:r>
            <w:r w:rsidR="00067C2F" w:rsidRPr="003D6332">
              <w:rPr>
                <w:noProof/>
                <w:webHidden/>
                <w:lang w:val="lv-LV"/>
              </w:rPr>
              <w:fldChar w:fldCharType="separate"/>
            </w:r>
            <w:r w:rsidR="00275DA3" w:rsidRPr="003D6332">
              <w:rPr>
                <w:noProof/>
                <w:webHidden/>
                <w:lang w:val="lv-LV"/>
              </w:rPr>
              <w:t>17</w:t>
            </w:r>
            <w:r w:rsidR="00067C2F" w:rsidRPr="003D6332">
              <w:rPr>
                <w:noProof/>
                <w:webHidden/>
                <w:lang w:val="lv-LV"/>
              </w:rPr>
              <w:fldChar w:fldCharType="end"/>
            </w:r>
          </w:hyperlink>
        </w:p>
        <w:p w:rsidR="00926120" w:rsidRPr="003D6332" w:rsidRDefault="00067C2F">
          <w:pPr>
            <w:rPr>
              <w:lang w:val="lv-LV"/>
            </w:rPr>
          </w:pPr>
          <w:r w:rsidRPr="003D6332">
            <w:rPr>
              <w:b/>
              <w:bCs/>
              <w:noProof/>
              <w:lang w:val="lv-LV"/>
            </w:rPr>
            <w:fldChar w:fldCharType="end"/>
          </w:r>
        </w:p>
      </w:sdtContent>
    </w:sdt>
    <w:p w:rsidR="00B86D69" w:rsidRPr="003D6332" w:rsidRDefault="00B86D69">
      <w:pPr>
        <w:rPr>
          <w:rFonts w:eastAsiaTheme="majorEastAsia" w:cstheme="majorBidi"/>
          <w:b/>
          <w:bCs/>
          <w:color w:val="365F91" w:themeColor="accent1" w:themeShade="BF"/>
          <w:sz w:val="28"/>
          <w:szCs w:val="28"/>
          <w:lang w:val="lv-LV"/>
        </w:rPr>
      </w:pPr>
      <w:bookmarkStart w:id="4" w:name="_Toc440290991"/>
      <w:r w:rsidRPr="003D6332">
        <w:rPr>
          <w:lang w:val="lv-LV"/>
        </w:rPr>
        <w:br w:type="page"/>
      </w:r>
    </w:p>
    <w:p w:rsidR="000B006E" w:rsidRPr="003D6332" w:rsidRDefault="000B006E" w:rsidP="000B006E">
      <w:pPr>
        <w:pStyle w:val="Heading1"/>
        <w:rPr>
          <w:rFonts w:asciiTheme="minorHAnsi" w:hAnsiTheme="minorHAnsi"/>
          <w:lang w:val="lv-LV"/>
        </w:rPr>
      </w:pPr>
      <w:r w:rsidRPr="003D6332">
        <w:rPr>
          <w:rFonts w:asciiTheme="minorHAnsi" w:hAnsiTheme="minorHAnsi"/>
          <w:lang w:val="lv-LV"/>
        </w:rPr>
        <w:lastRenderedPageBreak/>
        <w:t xml:space="preserve">AUTORS: </w:t>
      </w:r>
    </w:p>
    <w:p w:rsidR="005E2DCC" w:rsidRPr="003D6332" w:rsidRDefault="009D2907" w:rsidP="00B86D69">
      <w:pPr>
        <w:rPr>
          <w:b/>
          <w:lang w:val="lv-LV"/>
        </w:rPr>
      </w:pPr>
      <w:r w:rsidRPr="003D6332">
        <w:rPr>
          <w:b/>
          <w:lang w:val="lv-LV"/>
        </w:rPr>
        <w:t>Thomas Bignal</w:t>
      </w:r>
      <w:r w:rsidR="005E2DCC" w:rsidRPr="003D6332">
        <w:rPr>
          <w:b/>
          <w:lang w:val="lv-LV"/>
        </w:rPr>
        <w:t xml:space="preserve">, EASPD </w:t>
      </w:r>
      <w:bookmarkEnd w:id="4"/>
      <w:r w:rsidR="000B006E" w:rsidRPr="003D6332">
        <w:rPr>
          <w:b/>
          <w:lang w:val="lv-LV"/>
        </w:rPr>
        <w:t>politikas un komunikācijas koordinātors</w:t>
      </w:r>
    </w:p>
    <w:p w:rsidR="000B006E" w:rsidRPr="003D6332" w:rsidRDefault="000B006E" w:rsidP="000B006E">
      <w:pPr>
        <w:pStyle w:val="Heading1"/>
        <w:rPr>
          <w:rFonts w:asciiTheme="minorHAnsi" w:hAnsiTheme="minorHAnsi"/>
          <w:lang w:val="lv-LV"/>
        </w:rPr>
      </w:pPr>
      <w:bookmarkStart w:id="5" w:name="_Toc443312603"/>
      <w:bookmarkStart w:id="6" w:name="_Toc447820157"/>
      <w:r w:rsidRPr="003D6332">
        <w:rPr>
          <w:rFonts w:asciiTheme="minorHAnsi" w:hAnsiTheme="minorHAnsi"/>
          <w:lang w:val="lv-LV"/>
        </w:rPr>
        <w:t>MĀCĪBU PROCESA REZULTĀTI:</w:t>
      </w:r>
      <w:bookmarkEnd w:id="5"/>
      <w:bookmarkEnd w:id="6"/>
      <w:r w:rsidRPr="003D6332">
        <w:rPr>
          <w:rFonts w:asciiTheme="minorHAnsi" w:hAnsiTheme="minorHAnsi"/>
          <w:lang w:val="lv-LV"/>
        </w:rPr>
        <w:t xml:space="preserve"> </w:t>
      </w:r>
    </w:p>
    <w:p w:rsidR="0000615F" w:rsidRPr="003D6332" w:rsidRDefault="000B006E" w:rsidP="000B006E">
      <w:pPr>
        <w:pStyle w:val="ListParagraph"/>
        <w:numPr>
          <w:ilvl w:val="0"/>
          <w:numId w:val="39"/>
        </w:numPr>
        <w:rPr>
          <w:rFonts w:eastAsiaTheme="majorEastAsia"/>
          <w:lang w:val="lv-LV"/>
        </w:rPr>
      </w:pPr>
      <w:r w:rsidRPr="003D6332">
        <w:rPr>
          <w:rFonts w:eastAsiaTheme="majorEastAsia"/>
          <w:b/>
          <w:color w:val="365F91" w:themeColor="accent1" w:themeShade="BF"/>
          <w:sz w:val="28"/>
          <w:szCs w:val="28"/>
          <w:lang w:val="lv-LV"/>
        </w:rPr>
        <w:t xml:space="preserve"> (Zināšanas) </w:t>
      </w:r>
      <w:r w:rsidRPr="003D6332">
        <w:rPr>
          <w:rFonts w:eastAsiaTheme="majorEastAsia"/>
          <w:lang w:val="lv-LV"/>
        </w:rPr>
        <w:t>Pabeidzot mācību kursu, dalībnieki spēs parādīt zināšanas par:</w:t>
      </w:r>
    </w:p>
    <w:p w:rsidR="009D2907" w:rsidRPr="003D6332" w:rsidRDefault="000B006E" w:rsidP="00E213CA">
      <w:pPr>
        <w:pStyle w:val="ListParagraph"/>
        <w:numPr>
          <w:ilvl w:val="1"/>
          <w:numId w:val="2"/>
        </w:numPr>
        <w:rPr>
          <w:rFonts w:eastAsiaTheme="majorEastAsia"/>
          <w:lang w:val="lv-LV"/>
        </w:rPr>
      </w:pPr>
      <w:r w:rsidRPr="003D6332">
        <w:rPr>
          <w:rFonts w:eastAsiaTheme="majorEastAsia"/>
          <w:lang w:val="lv-LV"/>
        </w:rPr>
        <w:t>ANO Konvvencijas ietekmiuz sociālajiem pakalpojumiem</w:t>
      </w:r>
    </w:p>
    <w:p w:rsidR="000B006E" w:rsidRPr="003D6332" w:rsidRDefault="000B006E" w:rsidP="00E213CA">
      <w:pPr>
        <w:pStyle w:val="ListParagraph"/>
        <w:numPr>
          <w:ilvl w:val="1"/>
          <w:numId w:val="2"/>
        </w:numPr>
        <w:rPr>
          <w:rFonts w:eastAsiaTheme="majorEastAsia"/>
          <w:lang w:val="lv-LV"/>
        </w:rPr>
      </w:pPr>
      <w:r w:rsidRPr="003D6332">
        <w:rPr>
          <w:lang w:val="lv-LV"/>
        </w:rPr>
        <w:t>Pašreizējo stāvokli sociālo pakalpojumu jomā Eiropā</w:t>
      </w:r>
    </w:p>
    <w:p w:rsidR="005E2DCC" w:rsidRPr="003D6332" w:rsidRDefault="000B006E" w:rsidP="00E213CA">
      <w:pPr>
        <w:pStyle w:val="ListParagraph"/>
        <w:numPr>
          <w:ilvl w:val="1"/>
          <w:numId w:val="2"/>
        </w:numPr>
        <w:rPr>
          <w:rFonts w:eastAsiaTheme="majorEastAsia"/>
          <w:lang w:val="lv-LV"/>
        </w:rPr>
      </w:pPr>
      <w:r w:rsidRPr="003D6332">
        <w:rPr>
          <w:rFonts w:eastAsiaTheme="majorEastAsia"/>
          <w:lang w:val="lv-LV"/>
        </w:rPr>
        <w:t xml:space="preserve">Eiropas institūciju ietekmi uz sociālo pakalpojumu sniegšanu </w:t>
      </w:r>
    </w:p>
    <w:p w:rsidR="000B006E" w:rsidRPr="003D6332" w:rsidRDefault="000B006E" w:rsidP="000B006E">
      <w:pPr>
        <w:pStyle w:val="ListParagraph"/>
        <w:numPr>
          <w:ilvl w:val="0"/>
          <w:numId w:val="2"/>
        </w:numPr>
        <w:spacing w:after="0" w:line="360" w:lineRule="auto"/>
        <w:rPr>
          <w:rFonts w:eastAsiaTheme="majorEastAsia" w:cstheme="majorBidi"/>
          <w:bCs/>
          <w:lang w:val="lv-LV"/>
        </w:rPr>
      </w:pPr>
      <w:r w:rsidRPr="003D6332">
        <w:rPr>
          <w:rFonts w:eastAsiaTheme="majorEastAsia"/>
          <w:b/>
          <w:color w:val="365F91" w:themeColor="accent1" w:themeShade="BF"/>
          <w:sz w:val="28"/>
          <w:szCs w:val="28"/>
          <w:lang w:val="lv-LV"/>
        </w:rPr>
        <w:t>(Prasmes)</w:t>
      </w:r>
      <w:r w:rsidRPr="003D6332">
        <w:rPr>
          <w:rFonts w:eastAsiaTheme="majorEastAsia"/>
          <w:sz w:val="28"/>
          <w:szCs w:val="24"/>
          <w:lang w:val="lv-LV"/>
        </w:rPr>
        <w:t xml:space="preserve"> </w:t>
      </w:r>
      <w:r w:rsidRPr="003D6332">
        <w:rPr>
          <w:rFonts w:eastAsiaTheme="majorEastAsia"/>
          <w:lang w:val="lv-LV"/>
        </w:rPr>
        <w:t>Pabeidzot mācību kursu, dalībnieki spēs:</w:t>
      </w:r>
    </w:p>
    <w:p w:rsidR="009D2907" w:rsidRPr="003D6332" w:rsidRDefault="000B006E" w:rsidP="00E213CA">
      <w:pPr>
        <w:pStyle w:val="ListParagraph"/>
        <w:numPr>
          <w:ilvl w:val="1"/>
          <w:numId w:val="2"/>
        </w:numPr>
        <w:rPr>
          <w:rFonts w:eastAsiaTheme="majorEastAsia"/>
          <w:lang w:val="lv-LV"/>
        </w:rPr>
      </w:pPr>
      <w:r w:rsidRPr="003D6332">
        <w:rPr>
          <w:rFonts w:eastAsiaTheme="majorEastAsia"/>
          <w:lang w:val="lv-LV"/>
        </w:rPr>
        <w:t>Izprast sociālo pakalpojumu lomu ANO Konvencijas īstenošanā</w:t>
      </w:r>
    </w:p>
    <w:p w:rsidR="000B006E" w:rsidRPr="003D6332" w:rsidRDefault="000B006E" w:rsidP="00E213CA">
      <w:pPr>
        <w:pStyle w:val="ListParagraph"/>
        <w:numPr>
          <w:ilvl w:val="1"/>
          <w:numId w:val="2"/>
        </w:numPr>
        <w:rPr>
          <w:rFonts w:eastAsiaTheme="majorEastAsia"/>
          <w:lang w:val="lv-LV"/>
        </w:rPr>
      </w:pPr>
      <w:r w:rsidRPr="003D6332">
        <w:rPr>
          <w:lang w:val="lv-LV"/>
        </w:rPr>
        <w:t>Novērtēt vājās puses valsts līmenī  kvalitātes sistēmu izveidē</w:t>
      </w:r>
    </w:p>
    <w:p w:rsidR="009D2907" w:rsidRPr="003D6332" w:rsidRDefault="000B006E" w:rsidP="00E213CA">
      <w:pPr>
        <w:pStyle w:val="ListParagraph"/>
        <w:numPr>
          <w:ilvl w:val="1"/>
          <w:numId w:val="2"/>
        </w:numPr>
        <w:rPr>
          <w:rFonts w:eastAsiaTheme="majorEastAsia"/>
          <w:lang w:val="lv-LV"/>
        </w:rPr>
      </w:pPr>
      <w:r w:rsidRPr="003D6332">
        <w:rPr>
          <w:lang w:val="lv-LV"/>
        </w:rPr>
        <w:t>Izprast Eiropas iestāžu nozīmi, lai rastu risinājumus problēmām</w:t>
      </w:r>
    </w:p>
    <w:p w:rsidR="005E2DCC" w:rsidRPr="003D6332" w:rsidRDefault="009D2907" w:rsidP="00E213CA">
      <w:pPr>
        <w:pStyle w:val="ListParagraph"/>
        <w:numPr>
          <w:ilvl w:val="0"/>
          <w:numId w:val="2"/>
        </w:numPr>
        <w:rPr>
          <w:rFonts w:eastAsiaTheme="majorEastAsia" w:cstheme="majorBidi"/>
          <w:bCs/>
          <w:lang w:val="lv-LV"/>
        </w:rPr>
      </w:pPr>
      <w:r w:rsidRPr="003D6332">
        <w:rPr>
          <w:rFonts w:eastAsiaTheme="majorEastAsia" w:cstheme="majorBidi"/>
          <w:b/>
          <w:bCs/>
          <w:color w:val="365F91" w:themeColor="accent1" w:themeShade="BF"/>
          <w:sz w:val="28"/>
          <w:szCs w:val="28"/>
          <w:lang w:val="lv-LV"/>
        </w:rPr>
        <w:t xml:space="preserve"> </w:t>
      </w:r>
      <w:r w:rsidR="006205A8" w:rsidRPr="003D6332">
        <w:rPr>
          <w:rFonts w:eastAsiaTheme="majorEastAsia"/>
          <w:b/>
          <w:color w:val="365F91" w:themeColor="accent1" w:themeShade="BF"/>
          <w:sz w:val="28"/>
          <w:szCs w:val="28"/>
          <w:lang w:val="lv-LV"/>
        </w:rPr>
        <w:t>(Attieksme)</w:t>
      </w:r>
      <w:r w:rsidR="006205A8" w:rsidRPr="003D6332">
        <w:rPr>
          <w:rFonts w:eastAsiaTheme="majorEastAsia"/>
          <w:sz w:val="28"/>
          <w:szCs w:val="24"/>
          <w:lang w:val="lv-LV"/>
        </w:rPr>
        <w:t xml:space="preserve"> </w:t>
      </w:r>
      <w:r w:rsidR="006205A8" w:rsidRPr="003D6332">
        <w:rPr>
          <w:rFonts w:eastAsiaTheme="majorEastAsia"/>
          <w:lang w:val="lv-LV"/>
        </w:rPr>
        <w:t>Pabeidzot mācību kursu, dalībnieki spēs:</w:t>
      </w:r>
    </w:p>
    <w:p w:rsidR="009D2907" w:rsidRPr="003D6332" w:rsidRDefault="006205A8" w:rsidP="00E213CA">
      <w:pPr>
        <w:pStyle w:val="ListParagraph"/>
        <w:numPr>
          <w:ilvl w:val="1"/>
          <w:numId w:val="2"/>
        </w:numPr>
        <w:rPr>
          <w:rFonts w:eastAsiaTheme="majorEastAsia"/>
          <w:lang w:val="lv-LV"/>
        </w:rPr>
      </w:pPr>
      <w:r w:rsidRPr="003D6332">
        <w:rPr>
          <w:rFonts w:eastAsiaTheme="majorEastAsia"/>
          <w:lang w:val="lv-LV"/>
        </w:rPr>
        <w:t xml:space="preserve">Izprast sociālo pakalpojumu aktīvo lomu ANO Konvencijas īstenošanā </w:t>
      </w:r>
    </w:p>
    <w:p w:rsidR="006205A8" w:rsidRPr="003D6332" w:rsidRDefault="006205A8" w:rsidP="00E213CA">
      <w:pPr>
        <w:pStyle w:val="ListParagraph"/>
        <w:numPr>
          <w:ilvl w:val="1"/>
          <w:numId w:val="2"/>
        </w:numPr>
        <w:rPr>
          <w:rFonts w:eastAsiaTheme="majorEastAsia"/>
          <w:lang w:val="lv-LV"/>
        </w:rPr>
      </w:pPr>
      <w:r w:rsidRPr="003D6332">
        <w:rPr>
          <w:lang w:val="lv-LV"/>
        </w:rPr>
        <w:t>Uzsākt iekšējās diskusijas sociālajos pakalpojumos par to, kā tie var palīdzēt īstenot ANO Konvenciju</w:t>
      </w:r>
    </w:p>
    <w:p w:rsidR="009D2907" w:rsidRPr="003D6332" w:rsidRDefault="006205A8" w:rsidP="00E213CA">
      <w:pPr>
        <w:pStyle w:val="ListParagraph"/>
        <w:numPr>
          <w:ilvl w:val="1"/>
          <w:numId w:val="2"/>
        </w:numPr>
        <w:rPr>
          <w:rFonts w:eastAsiaTheme="majorEastAsia"/>
          <w:lang w:val="lv-LV"/>
        </w:rPr>
      </w:pPr>
      <w:r w:rsidRPr="003D6332">
        <w:rPr>
          <w:rFonts w:eastAsiaTheme="majorEastAsia"/>
          <w:lang w:val="lv-LV"/>
        </w:rPr>
        <w:t>Apgūt, kā citās valstīs ir noritējusi šī pāreja</w:t>
      </w:r>
      <w:r w:rsidR="009D2907" w:rsidRPr="003D6332">
        <w:rPr>
          <w:rFonts w:eastAsiaTheme="majorEastAsia"/>
          <w:lang w:val="lv-LV"/>
        </w:rPr>
        <w:t>.</w:t>
      </w:r>
    </w:p>
    <w:p w:rsidR="005E2DCC" w:rsidRPr="003D6332" w:rsidRDefault="00360C06" w:rsidP="0000615F">
      <w:pPr>
        <w:pStyle w:val="Heading1"/>
        <w:rPr>
          <w:lang w:val="lv-LV"/>
        </w:rPr>
      </w:pPr>
      <w:bookmarkStart w:id="7" w:name="_Toc440290993"/>
      <w:r w:rsidRPr="003D6332">
        <w:rPr>
          <w:lang w:val="lv-LV"/>
        </w:rPr>
        <w:t xml:space="preserve">GALVENĀS MODUĻA ATZIŅAS </w:t>
      </w:r>
      <w:bookmarkEnd w:id="7"/>
    </w:p>
    <w:p w:rsidR="00360C06" w:rsidRPr="003D6332" w:rsidRDefault="00360C06" w:rsidP="0000615F">
      <w:pPr>
        <w:rPr>
          <w:lang w:val="lv-LV"/>
        </w:rPr>
      </w:pPr>
      <w:r w:rsidRPr="003D6332">
        <w:rPr>
          <w:lang w:val="lv-LV"/>
        </w:rPr>
        <w:t>Sociālo pakalpojumu personām ar invaliditāti sniedzējiem  jāspēlē aktīva loma pakalpojumu kvalitātes paaugstināšanā un</w:t>
      </w:r>
      <w:r w:rsidR="00DD1A15" w:rsidRPr="003D6332">
        <w:rPr>
          <w:lang w:val="lv-LV"/>
        </w:rPr>
        <w:t xml:space="preserve"> jāveicina</w:t>
      </w:r>
      <w:r w:rsidR="00DE5411" w:rsidRPr="003D6332">
        <w:rPr>
          <w:lang w:val="lv-LV"/>
        </w:rPr>
        <w:t>, lai sociālo</w:t>
      </w:r>
      <w:r w:rsidRPr="003D6332">
        <w:rPr>
          <w:lang w:val="lv-LV"/>
        </w:rPr>
        <w:t xml:space="preserve"> </w:t>
      </w:r>
      <w:r w:rsidR="00DD1A15" w:rsidRPr="003D6332">
        <w:rPr>
          <w:lang w:val="lv-LV"/>
        </w:rPr>
        <w:t>pakalpojumu</w:t>
      </w:r>
      <w:r w:rsidRPr="003D6332">
        <w:rPr>
          <w:lang w:val="lv-LV"/>
        </w:rPr>
        <w:t xml:space="preserve"> sistēmas</w:t>
      </w:r>
      <w:r w:rsidR="00DD1A15" w:rsidRPr="003D6332">
        <w:rPr>
          <w:lang w:val="lv-LV"/>
        </w:rPr>
        <w:t xml:space="preserve"> nodrošinātu </w:t>
      </w:r>
      <w:r w:rsidRPr="003D6332">
        <w:rPr>
          <w:lang w:val="lv-LV"/>
        </w:rPr>
        <w:t xml:space="preserve">ANO </w:t>
      </w:r>
      <w:r w:rsidR="00DD1A15" w:rsidRPr="003D6332">
        <w:rPr>
          <w:lang w:val="lv-LV"/>
        </w:rPr>
        <w:t>Konvencijas īstenošanu</w:t>
      </w:r>
      <w:r w:rsidRPr="003D6332">
        <w:rPr>
          <w:lang w:val="lv-LV"/>
        </w:rPr>
        <w:t xml:space="preserve">. Sociālo pakalpojumu sniedzējiem ir </w:t>
      </w:r>
      <w:r w:rsidR="00DE5411" w:rsidRPr="003D6332">
        <w:rPr>
          <w:lang w:val="lv-LV"/>
        </w:rPr>
        <w:t>jādomā</w:t>
      </w:r>
      <w:r w:rsidRPr="003D6332">
        <w:rPr>
          <w:lang w:val="lv-LV"/>
        </w:rPr>
        <w:t xml:space="preserve"> un </w:t>
      </w:r>
      <w:r w:rsidR="00DE5411" w:rsidRPr="003D6332">
        <w:rPr>
          <w:lang w:val="lv-LV"/>
        </w:rPr>
        <w:t>jā</w:t>
      </w:r>
      <w:r w:rsidRPr="003D6332">
        <w:rPr>
          <w:lang w:val="lv-LV"/>
        </w:rPr>
        <w:t>rīko</w:t>
      </w:r>
      <w:r w:rsidR="00DE5411" w:rsidRPr="003D6332">
        <w:rPr>
          <w:lang w:val="lv-LV"/>
        </w:rPr>
        <w:t>jas</w:t>
      </w:r>
      <w:r w:rsidRPr="003D6332">
        <w:rPr>
          <w:lang w:val="lv-LV"/>
        </w:rPr>
        <w:t xml:space="preserve"> tā, </w:t>
      </w:r>
      <w:r w:rsidR="00DE5411" w:rsidRPr="003D6332">
        <w:rPr>
          <w:lang w:val="lv-LV"/>
        </w:rPr>
        <w:t>lai viņi</w:t>
      </w:r>
      <w:r w:rsidRPr="003D6332">
        <w:rPr>
          <w:lang w:val="lv-LV"/>
        </w:rPr>
        <w:t xml:space="preserve"> var</w:t>
      </w:r>
      <w:r w:rsidR="00DE5411" w:rsidRPr="003D6332">
        <w:rPr>
          <w:lang w:val="lv-LV"/>
        </w:rPr>
        <w:t>ētu</w:t>
      </w:r>
      <w:r w:rsidRPr="003D6332">
        <w:rPr>
          <w:lang w:val="lv-LV"/>
        </w:rPr>
        <w:t xml:space="preserve"> sniegt risinājumus, nevis kavē</w:t>
      </w:r>
      <w:r w:rsidR="00DE5411" w:rsidRPr="003D6332">
        <w:rPr>
          <w:lang w:val="lv-LV"/>
        </w:rPr>
        <w:t xml:space="preserve">tu </w:t>
      </w:r>
      <w:r w:rsidRPr="003D6332">
        <w:rPr>
          <w:lang w:val="lv-LV"/>
        </w:rPr>
        <w:t xml:space="preserve"> </w:t>
      </w:r>
      <w:r w:rsidR="00DE5411" w:rsidRPr="003D6332">
        <w:rPr>
          <w:lang w:val="lv-LV"/>
        </w:rPr>
        <w:t xml:space="preserve">personām ar invaliditāti </w:t>
      </w:r>
      <w:r w:rsidR="006205A8" w:rsidRPr="003D6332">
        <w:rPr>
          <w:lang w:val="lv-LV"/>
        </w:rPr>
        <w:t xml:space="preserve">iespējas īstenot cilvēktiesības. Modulis </w:t>
      </w:r>
      <w:r w:rsidRPr="003D6332">
        <w:rPr>
          <w:lang w:val="lv-LV"/>
        </w:rPr>
        <w:t xml:space="preserve"> pierāda, ka, neskatoties uz </w:t>
      </w:r>
      <w:r w:rsidR="00DE5411" w:rsidRPr="003D6332">
        <w:rPr>
          <w:lang w:val="lv-LV"/>
        </w:rPr>
        <w:t>nozīmīgām</w:t>
      </w:r>
      <w:r w:rsidRPr="003D6332">
        <w:rPr>
          <w:lang w:val="lv-LV"/>
        </w:rPr>
        <w:t xml:space="preserve"> atšķirībām starp sociālo p</w:t>
      </w:r>
      <w:r w:rsidR="006205A8" w:rsidRPr="003D6332">
        <w:rPr>
          <w:lang w:val="lv-LV"/>
        </w:rPr>
        <w:t>akalpojumu sistēmām Eiropā, visas valsti</w:t>
      </w:r>
      <w:r w:rsidRPr="003D6332">
        <w:rPr>
          <w:lang w:val="lv-LV"/>
        </w:rPr>
        <w:t>s</w:t>
      </w:r>
      <w:r w:rsidR="00DE5411" w:rsidRPr="003D6332">
        <w:rPr>
          <w:lang w:val="lv-LV"/>
        </w:rPr>
        <w:t>,</w:t>
      </w:r>
      <w:r w:rsidRPr="003D6332">
        <w:rPr>
          <w:lang w:val="lv-LV"/>
        </w:rPr>
        <w:t xml:space="preserve"> </w:t>
      </w:r>
      <w:r w:rsidR="00DE5411" w:rsidRPr="003D6332">
        <w:rPr>
          <w:lang w:val="lv-LV"/>
        </w:rPr>
        <w:t xml:space="preserve">īstenojot ANO Konvenciju, </w:t>
      </w:r>
      <w:r w:rsidRPr="003D6332">
        <w:rPr>
          <w:lang w:val="lv-LV"/>
        </w:rPr>
        <w:t>saskaras</w:t>
      </w:r>
      <w:r w:rsidR="00DE5411" w:rsidRPr="003D6332">
        <w:rPr>
          <w:lang w:val="lv-LV"/>
        </w:rPr>
        <w:t xml:space="preserve"> ar</w:t>
      </w:r>
      <w:r w:rsidRPr="003D6332">
        <w:rPr>
          <w:lang w:val="lv-LV"/>
        </w:rPr>
        <w:t xml:space="preserve"> </w:t>
      </w:r>
      <w:r w:rsidR="00DE5411" w:rsidRPr="003D6332">
        <w:rPr>
          <w:lang w:val="lv-LV"/>
        </w:rPr>
        <w:t xml:space="preserve">strīdīgiem </w:t>
      </w:r>
      <w:r w:rsidRPr="003D6332">
        <w:rPr>
          <w:lang w:val="lv-LV"/>
        </w:rPr>
        <w:t>jautājum</w:t>
      </w:r>
      <w:r w:rsidR="00DE5411" w:rsidRPr="003D6332">
        <w:rPr>
          <w:lang w:val="lv-LV"/>
        </w:rPr>
        <w:t>iem</w:t>
      </w:r>
      <w:r w:rsidRPr="003D6332">
        <w:rPr>
          <w:lang w:val="lv-LV"/>
        </w:rPr>
        <w:t xml:space="preserve">. Tas nozīmē, ka </w:t>
      </w:r>
      <w:r w:rsidR="00DE5411" w:rsidRPr="003D6332">
        <w:rPr>
          <w:lang w:val="lv-LV"/>
        </w:rPr>
        <w:t xml:space="preserve">invaliditātes jomā </w:t>
      </w:r>
      <w:r w:rsidR="001F7836" w:rsidRPr="003D6332">
        <w:rPr>
          <w:lang w:val="lv-LV"/>
        </w:rPr>
        <w:t>ieinteresētajām</w:t>
      </w:r>
      <w:r w:rsidR="006205A8" w:rsidRPr="003D6332">
        <w:rPr>
          <w:lang w:val="lv-LV"/>
        </w:rPr>
        <w:t xml:space="preserve"> un</w:t>
      </w:r>
      <w:r w:rsidR="001F7836" w:rsidRPr="003D6332">
        <w:rPr>
          <w:lang w:val="lv-LV"/>
        </w:rPr>
        <w:t xml:space="preserve"> </w:t>
      </w:r>
      <w:r w:rsidR="00DE5411" w:rsidRPr="003D6332">
        <w:rPr>
          <w:lang w:val="lv-LV"/>
        </w:rPr>
        <w:t xml:space="preserve">iesaistītajām pusēm </w:t>
      </w:r>
      <w:r w:rsidRPr="003D6332">
        <w:rPr>
          <w:lang w:val="lv-LV"/>
        </w:rPr>
        <w:t xml:space="preserve">jāturpina atbalstīt </w:t>
      </w:r>
      <w:r w:rsidR="001F7836" w:rsidRPr="003D6332">
        <w:rPr>
          <w:lang w:val="lv-LV"/>
        </w:rPr>
        <w:t>politisku apņemšanos</w:t>
      </w:r>
      <w:r w:rsidRPr="003D6332">
        <w:rPr>
          <w:lang w:val="lv-LV"/>
        </w:rPr>
        <w:t xml:space="preserve">, lai </w:t>
      </w:r>
      <w:r w:rsidR="006205A8" w:rsidRPr="003D6332">
        <w:rPr>
          <w:lang w:val="lv-LV"/>
        </w:rPr>
        <w:t>ieviestu</w:t>
      </w:r>
      <w:r w:rsidRPr="003D6332">
        <w:rPr>
          <w:lang w:val="lv-LV"/>
        </w:rPr>
        <w:t xml:space="preserve"> ANO </w:t>
      </w:r>
      <w:r w:rsidR="001F7836" w:rsidRPr="003D6332">
        <w:rPr>
          <w:lang w:val="lv-LV"/>
        </w:rPr>
        <w:t xml:space="preserve">Konvenciju </w:t>
      </w:r>
      <w:r w:rsidRPr="003D6332">
        <w:rPr>
          <w:lang w:val="lv-LV"/>
        </w:rPr>
        <w:t>visos līmeņos, tostarp Eiropas līmenī.</w:t>
      </w:r>
    </w:p>
    <w:p w:rsidR="005E2DCC" w:rsidRPr="003D6332" w:rsidRDefault="009D2907" w:rsidP="0000615F">
      <w:pPr>
        <w:pStyle w:val="Heading1"/>
        <w:rPr>
          <w:lang w:val="lv-LV"/>
        </w:rPr>
      </w:pPr>
      <w:bookmarkStart w:id="8" w:name="_Toc440290994"/>
      <w:r w:rsidRPr="003D6332">
        <w:rPr>
          <w:lang w:val="lv-LV"/>
        </w:rPr>
        <w:t>I</w:t>
      </w:r>
      <w:r w:rsidR="005E2DCC" w:rsidRPr="003D6332">
        <w:rPr>
          <w:lang w:val="lv-LV"/>
        </w:rPr>
        <w:t>I.1</w:t>
      </w:r>
      <w:r w:rsidRPr="003D6332">
        <w:rPr>
          <w:lang w:val="lv-LV"/>
        </w:rPr>
        <w:t xml:space="preserve"> </w:t>
      </w:r>
      <w:r w:rsidR="001F7836" w:rsidRPr="003D6332">
        <w:rPr>
          <w:lang w:val="lv-LV"/>
        </w:rPr>
        <w:t>Soc</w:t>
      </w:r>
      <w:r w:rsidR="000B006E" w:rsidRPr="003D6332">
        <w:rPr>
          <w:lang w:val="lv-LV"/>
        </w:rPr>
        <w:t>i</w:t>
      </w:r>
      <w:r w:rsidR="001F7836" w:rsidRPr="003D6332">
        <w:rPr>
          <w:lang w:val="lv-LV"/>
        </w:rPr>
        <w:t xml:space="preserve">ālo pakalpojumu mainīgā loma </w:t>
      </w:r>
      <w:bookmarkEnd w:id="8"/>
    </w:p>
    <w:p w:rsidR="005E2DCC" w:rsidRPr="003D6332" w:rsidRDefault="009D2907" w:rsidP="00D73219">
      <w:pPr>
        <w:pStyle w:val="Heading2"/>
        <w:rPr>
          <w:lang w:val="lv-LV"/>
        </w:rPr>
      </w:pPr>
      <w:bookmarkStart w:id="9" w:name="_Toc440290995"/>
      <w:r w:rsidRPr="003D6332">
        <w:rPr>
          <w:lang w:val="lv-LV"/>
        </w:rPr>
        <w:t>I</w:t>
      </w:r>
      <w:r w:rsidR="005E2DCC" w:rsidRPr="003D6332">
        <w:rPr>
          <w:lang w:val="lv-LV"/>
        </w:rPr>
        <w:t xml:space="preserve">I.1.1 </w:t>
      </w:r>
      <w:r w:rsidR="001F7836" w:rsidRPr="003D6332">
        <w:rPr>
          <w:lang w:val="lv-LV"/>
        </w:rPr>
        <w:t>So</w:t>
      </w:r>
      <w:bookmarkEnd w:id="9"/>
      <w:r w:rsidR="001F7836" w:rsidRPr="003D6332">
        <w:rPr>
          <w:lang w:val="lv-LV"/>
        </w:rPr>
        <w:t>ciālo pakalpojumu definīcija Eiropā</w:t>
      </w:r>
    </w:p>
    <w:p w:rsidR="001F7836" w:rsidRPr="003D6332" w:rsidRDefault="001F7836" w:rsidP="001F7836">
      <w:pPr>
        <w:rPr>
          <w:lang w:val="lv-LV"/>
        </w:rPr>
      </w:pPr>
    </w:p>
    <w:p w:rsidR="009D2907" w:rsidRPr="003D6332" w:rsidRDefault="001F7836" w:rsidP="0000615F">
      <w:pPr>
        <w:rPr>
          <w:lang w:val="lv-LV"/>
        </w:rPr>
      </w:pPr>
      <w:r w:rsidRPr="003D6332">
        <w:rPr>
          <w:lang w:val="lv-LV"/>
        </w:rPr>
        <w:lastRenderedPageBreak/>
        <w:t xml:space="preserve">Eiropas valstīm nav vienotas sociālo pakalpojumu definīcijas. Eiropas Savienības 2006.gada Paziņojums par Eiropas Savienības vispārējās intereses sociāliem </w:t>
      </w:r>
      <w:r w:rsidR="00D027CA" w:rsidRPr="003D6332">
        <w:rPr>
          <w:lang w:val="lv-LV"/>
        </w:rPr>
        <w:t>pakalpojumiem dod dalībvalstīm brīvību "noteikt [...]vispārējas nozīmes sociālo pakalpojumu definīciju, un noteikt pienākumus un uzdevumus, kas saistīti ar šādiem pakalpojumiem un to organizācijas principus</w:t>
      </w:r>
      <w:r w:rsidR="009D2907" w:rsidRPr="003D6332">
        <w:rPr>
          <w:lang w:val="lv-LV"/>
        </w:rPr>
        <w:t>”</w:t>
      </w:r>
      <w:r w:rsidR="00987A64" w:rsidRPr="003D6332">
        <w:rPr>
          <w:rStyle w:val="FootnoteReference"/>
          <w:rFonts w:cs="Arial"/>
          <w:lang w:val="lv-LV"/>
        </w:rPr>
        <w:footnoteReference w:id="1"/>
      </w:r>
      <w:r w:rsidR="009D2907" w:rsidRPr="003D6332">
        <w:rPr>
          <w:lang w:val="lv-LV"/>
        </w:rPr>
        <w:t>.</w:t>
      </w:r>
    </w:p>
    <w:p w:rsidR="00D027CA" w:rsidRPr="003D6332" w:rsidRDefault="00D027CA" w:rsidP="0000615F">
      <w:pPr>
        <w:spacing w:after="0"/>
        <w:rPr>
          <w:lang w:val="lv-LV"/>
        </w:rPr>
      </w:pPr>
      <w:r w:rsidRPr="003D6332">
        <w:rPr>
          <w:lang w:val="lv-LV"/>
        </w:rPr>
        <w:t>Tomēr paziņojumā teikts, ka sociālie pakalpojumi  bieži</w:t>
      </w:r>
      <w:r w:rsidR="00BF2ADE" w:rsidRPr="003D6332">
        <w:rPr>
          <w:lang w:val="lv-LV"/>
        </w:rPr>
        <w:t xml:space="preserve"> satur vienu vai vairākas no uzskaitītajiem</w:t>
      </w:r>
      <w:r w:rsidRPr="003D6332">
        <w:rPr>
          <w:lang w:val="lv-LV"/>
        </w:rPr>
        <w:t xml:space="preserve"> organizatoriskajiem raksturlielumiem:</w:t>
      </w:r>
    </w:p>
    <w:p w:rsidR="00D027CA" w:rsidRPr="003D6332" w:rsidRDefault="00D027CA" w:rsidP="00D027CA">
      <w:pPr>
        <w:pStyle w:val="ListParagraph"/>
        <w:numPr>
          <w:ilvl w:val="0"/>
          <w:numId w:val="0"/>
        </w:numPr>
        <w:ind w:left="720"/>
        <w:rPr>
          <w:lang w:val="lv-LV"/>
        </w:rPr>
      </w:pPr>
    </w:p>
    <w:p w:rsidR="00D027CA" w:rsidRPr="003D6332" w:rsidRDefault="00D027CA" w:rsidP="00D027CA">
      <w:pPr>
        <w:pStyle w:val="ListParagraph"/>
        <w:numPr>
          <w:ilvl w:val="0"/>
          <w:numId w:val="0"/>
        </w:numPr>
        <w:ind w:left="720"/>
        <w:rPr>
          <w:lang w:val="lv-LV"/>
        </w:rPr>
      </w:pPr>
      <w:r w:rsidRPr="003D6332">
        <w:rPr>
          <w:lang w:val="lv-LV"/>
        </w:rPr>
        <w:t>• darbojas</w:t>
      </w:r>
      <w:r w:rsidR="00633884" w:rsidRPr="003D6332">
        <w:rPr>
          <w:lang w:val="lv-LV"/>
        </w:rPr>
        <w:t xml:space="preserve"> uz solidaritātes</w:t>
      </w:r>
      <w:r w:rsidR="00BF2ADE" w:rsidRPr="003D6332">
        <w:rPr>
          <w:lang w:val="lv-LV"/>
        </w:rPr>
        <w:t xml:space="preserve"> pamata</w:t>
      </w:r>
      <w:r w:rsidR="00BF2ADE" w:rsidRPr="003D6332">
        <w:rPr>
          <w:lang w:val="lv-LV"/>
        </w:rPr>
        <w:br/>
        <w:t>• ir v</w:t>
      </w:r>
      <w:r w:rsidR="00633884" w:rsidRPr="003D6332">
        <w:rPr>
          <w:lang w:val="lv-LV"/>
        </w:rPr>
        <w:t>isaptverošs un personalizēts</w:t>
      </w:r>
      <w:r w:rsidRPr="003D6332">
        <w:rPr>
          <w:lang w:val="lv-LV"/>
        </w:rPr>
        <w:br/>
        <w:t xml:space="preserve">• </w:t>
      </w:r>
      <w:r w:rsidR="00BF2ADE" w:rsidRPr="003D6332">
        <w:rPr>
          <w:lang w:val="lv-LV"/>
        </w:rPr>
        <w:t>ir bezpeļņas</w:t>
      </w:r>
      <w:r w:rsidR="00BF2ADE" w:rsidRPr="003D6332">
        <w:rPr>
          <w:lang w:val="lv-LV"/>
        </w:rPr>
        <w:br/>
        <w:t>• i</w:t>
      </w:r>
      <w:r w:rsidR="00633884" w:rsidRPr="003D6332">
        <w:rPr>
          <w:lang w:val="lv-LV"/>
        </w:rPr>
        <w:t>ekļauj</w:t>
      </w:r>
      <w:r w:rsidRPr="003D6332">
        <w:rPr>
          <w:lang w:val="lv-LV"/>
        </w:rPr>
        <w:t xml:space="preserve"> brīvprātīgo</w:t>
      </w:r>
      <w:r w:rsidR="00633884" w:rsidRPr="003D6332">
        <w:rPr>
          <w:lang w:val="lv-LV"/>
        </w:rPr>
        <w:t xml:space="preserve"> darbinieku līdzdalību</w:t>
      </w:r>
      <w:r w:rsidRPr="003D6332">
        <w:rPr>
          <w:lang w:val="lv-LV"/>
        </w:rPr>
        <w:br/>
        <w:t xml:space="preserve">• </w:t>
      </w:r>
      <w:r w:rsidR="00633884" w:rsidRPr="003D6332">
        <w:rPr>
          <w:lang w:val="lv-LV"/>
        </w:rPr>
        <w:t>saistīts ar vietējās kultūras tradīcijām</w:t>
      </w:r>
      <w:r w:rsidRPr="003D6332">
        <w:rPr>
          <w:lang w:val="lv-LV"/>
        </w:rPr>
        <w:t xml:space="preserve"> (tuvums starp pakalpojumu sniedzēju un saņēmēju)</w:t>
      </w:r>
      <w:r w:rsidRPr="003D6332">
        <w:rPr>
          <w:lang w:val="lv-LV"/>
        </w:rPr>
        <w:br/>
        <w:t xml:space="preserve">• asimetriskas attiecības starp pakalpojumu sniedzēju un </w:t>
      </w:r>
      <w:r w:rsidR="00BF2ADE" w:rsidRPr="003D6332">
        <w:rPr>
          <w:lang w:val="lv-LV"/>
        </w:rPr>
        <w:t xml:space="preserve">pakalpojumu </w:t>
      </w:r>
      <w:r w:rsidRPr="003D6332">
        <w:rPr>
          <w:lang w:val="lv-LV"/>
        </w:rPr>
        <w:t>saņēmēju, ko nevar pielīdzināt "normālām" piegādātāja / patērētāja attiecībām.</w:t>
      </w:r>
    </w:p>
    <w:p w:rsidR="00633884" w:rsidRPr="003D6332" w:rsidRDefault="00633884" w:rsidP="0000615F">
      <w:pPr>
        <w:rPr>
          <w:lang w:val="lv-LV"/>
        </w:rPr>
      </w:pPr>
      <w:r w:rsidRPr="003D6332">
        <w:rPr>
          <w:lang w:val="lv-LV"/>
        </w:rPr>
        <w:t xml:space="preserve">Saistībā ar ekonomiskajām, kultūras, vēsturiskajām atšķirībām, visā Eiropā pastāv dažādas izpratnes par sociāliem pakalpojumiem. Tomēr </w:t>
      </w:r>
      <w:r w:rsidR="006F7FCE" w:rsidRPr="003D6332">
        <w:rPr>
          <w:lang w:val="lv-LV"/>
        </w:rPr>
        <w:t xml:space="preserve">ir </w:t>
      </w:r>
      <w:r w:rsidR="006205A8" w:rsidRPr="003D6332">
        <w:rPr>
          <w:lang w:val="lv-LV"/>
        </w:rPr>
        <w:t>izveidojušies</w:t>
      </w:r>
      <w:r w:rsidR="006F7FCE" w:rsidRPr="003D6332">
        <w:rPr>
          <w:lang w:val="lv-LV"/>
        </w:rPr>
        <w:t xml:space="preserve"> </w:t>
      </w:r>
      <w:r w:rsidRPr="003D6332">
        <w:rPr>
          <w:lang w:val="lv-LV"/>
        </w:rPr>
        <w:t xml:space="preserve">divi galvenie modeļi. No vienas puses, ir valstis, kas izmanto šaurāku </w:t>
      </w:r>
      <w:r w:rsidR="006F7FCE" w:rsidRPr="003D6332">
        <w:rPr>
          <w:lang w:val="lv-LV"/>
        </w:rPr>
        <w:t xml:space="preserve">sociālo pakalpojumu </w:t>
      </w:r>
      <w:r w:rsidRPr="003D6332">
        <w:rPr>
          <w:lang w:val="lv-LV"/>
        </w:rPr>
        <w:t>definīciju, vairāk koncentrējoties uz šādu organizāciju</w:t>
      </w:r>
      <w:r w:rsidR="006F7FCE" w:rsidRPr="003D6332">
        <w:rPr>
          <w:lang w:val="lv-LV"/>
        </w:rPr>
        <w:t xml:space="preserve"> aizsargājošo lomu</w:t>
      </w:r>
      <w:r w:rsidRPr="003D6332">
        <w:rPr>
          <w:lang w:val="lv-LV"/>
        </w:rPr>
        <w:t xml:space="preserve">. Tas attiecas uz pakalpojumu sniegšanu jomās, kas saistītas ar aprūpi, mājokli, sociālo drošību un sociālo aizsardzību. No otras puses, ir valstis, kas </w:t>
      </w:r>
      <w:r w:rsidR="006F7FCE" w:rsidRPr="003D6332">
        <w:rPr>
          <w:lang w:val="lv-LV"/>
        </w:rPr>
        <w:t>papildina</w:t>
      </w:r>
      <w:r w:rsidRPr="003D6332">
        <w:rPr>
          <w:lang w:val="lv-LV"/>
        </w:rPr>
        <w:t xml:space="preserve"> pirm</w:t>
      </w:r>
      <w:r w:rsidR="006F7FCE" w:rsidRPr="003D6332">
        <w:rPr>
          <w:lang w:val="lv-LV"/>
        </w:rPr>
        <w:t>o izpratni par pakalpojumiem</w:t>
      </w:r>
      <w:r w:rsidR="006205A8" w:rsidRPr="003D6332">
        <w:rPr>
          <w:lang w:val="lv-LV"/>
        </w:rPr>
        <w:t>,</w:t>
      </w:r>
      <w:r w:rsidR="006F7FCE" w:rsidRPr="003D6332">
        <w:rPr>
          <w:lang w:val="lv-LV"/>
        </w:rPr>
        <w:t xml:space="preserve"> vairāk koncentrējoties</w:t>
      </w:r>
      <w:r w:rsidRPr="003D6332">
        <w:rPr>
          <w:lang w:val="lv-LV"/>
        </w:rPr>
        <w:t xml:space="preserve"> uz</w:t>
      </w:r>
      <w:r w:rsidR="006205A8" w:rsidRPr="003D6332">
        <w:rPr>
          <w:lang w:val="lv-LV"/>
        </w:rPr>
        <w:t xml:space="preserve"> cilvēku </w:t>
      </w:r>
      <w:r w:rsidRPr="003D6332">
        <w:rPr>
          <w:lang w:val="lv-LV"/>
        </w:rPr>
        <w:t xml:space="preserve"> "</w:t>
      </w:r>
      <w:r w:rsidR="006F7FCE" w:rsidRPr="003D6332">
        <w:rPr>
          <w:lang w:val="lv-LV"/>
        </w:rPr>
        <w:t>spēcināšanu", piemēram, pakalpojumi</w:t>
      </w:r>
      <w:r w:rsidRPr="003D6332">
        <w:rPr>
          <w:lang w:val="lv-LV"/>
        </w:rPr>
        <w:t xml:space="preserve"> izglītības vai nodarbinātības</w:t>
      </w:r>
      <w:r w:rsidR="006F7FCE" w:rsidRPr="003D6332">
        <w:rPr>
          <w:lang w:val="lv-LV"/>
        </w:rPr>
        <w:t xml:space="preserve"> jomā</w:t>
      </w:r>
      <w:r w:rsidRPr="003D6332">
        <w:rPr>
          <w:lang w:val="lv-LV"/>
        </w:rPr>
        <w:t>.</w:t>
      </w:r>
    </w:p>
    <w:p w:rsidR="006F7FCE" w:rsidRPr="003D6332" w:rsidRDefault="006F7FCE" w:rsidP="0000615F">
      <w:pPr>
        <w:rPr>
          <w:lang w:val="lv-LV"/>
        </w:rPr>
      </w:pPr>
      <w:r w:rsidRPr="003D6332">
        <w:rPr>
          <w:lang w:val="lv-LV"/>
        </w:rPr>
        <w:t>Šodien ir skaidrs,</w:t>
      </w:r>
      <w:r w:rsidR="00BD3DC7" w:rsidRPr="003D6332">
        <w:rPr>
          <w:lang w:val="lv-LV"/>
        </w:rPr>
        <w:t xml:space="preserve"> ka tendence ir lielākās</w:t>
      </w:r>
      <w:r w:rsidRPr="003D6332">
        <w:rPr>
          <w:lang w:val="lv-LV"/>
        </w:rPr>
        <w:t xml:space="preserve"> sistēmas</w:t>
      </w:r>
      <w:r w:rsidR="00BD3DC7" w:rsidRPr="003D6332">
        <w:rPr>
          <w:lang w:val="lv-LV"/>
        </w:rPr>
        <w:t xml:space="preserve"> daļas</w:t>
      </w:r>
      <w:r w:rsidRPr="003D6332">
        <w:rPr>
          <w:lang w:val="lv-LV"/>
        </w:rPr>
        <w:t xml:space="preserve"> </w:t>
      </w:r>
      <w:r w:rsidR="00BD3DC7" w:rsidRPr="003D6332">
        <w:rPr>
          <w:lang w:val="lv-LV"/>
        </w:rPr>
        <w:t>pārveide no pirmā "aizsardzības" mode</w:t>
      </w:r>
      <w:r w:rsidR="00BF2ADE" w:rsidRPr="003D6332">
        <w:rPr>
          <w:lang w:val="lv-LV"/>
        </w:rPr>
        <w:t>ļa</w:t>
      </w:r>
      <w:r w:rsidRPr="003D6332">
        <w:rPr>
          <w:lang w:val="lv-LV"/>
        </w:rPr>
        <w:t xml:space="preserve"> uz otro "aizsardzības un spēci</w:t>
      </w:r>
      <w:r w:rsidR="00BD3DC7" w:rsidRPr="003D6332">
        <w:rPr>
          <w:lang w:val="lv-LV"/>
        </w:rPr>
        <w:t>nāšanas</w:t>
      </w:r>
      <w:r w:rsidRPr="003D6332">
        <w:rPr>
          <w:lang w:val="lv-LV"/>
        </w:rPr>
        <w:t xml:space="preserve">" </w:t>
      </w:r>
      <w:r w:rsidR="00BD3DC7" w:rsidRPr="003D6332">
        <w:rPr>
          <w:lang w:val="lv-LV"/>
        </w:rPr>
        <w:t xml:space="preserve">sociālo pakalpojumu </w:t>
      </w:r>
      <w:r w:rsidR="003D6332" w:rsidRPr="003D6332">
        <w:rPr>
          <w:lang w:val="lv-LV"/>
        </w:rPr>
        <w:t>modeli</w:t>
      </w:r>
      <w:r w:rsidRPr="003D6332">
        <w:rPr>
          <w:lang w:val="lv-LV"/>
        </w:rPr>
        <w:t>.</w:t>
      </w:r>
    </w:p>
    <w:p w:rsidR="005E2DCC" w:rsidRPr="003D6332" w:rsidRDefault="005E2DCC" w:rsidP="00D73219">
      <w:pPr>
        <w:pStyle w:val="Heading2"/>
        <w:rPr>
          <w:lang w:val="lv-LV"/>
        </w:rPr>
      </w:pPr>
      <w:bookmarkStart w:id="10" w:name="_Toc440290996"/>
      <w:r w:rsidRPr="003D6332">
        <w:rPr>
          <w:lang w:val="lv-LV"/>
        </w:rPr>
        <w:t>I</w:t>
      </w:r>
      <w:r w:rsidR="00987A64" w:rsidRPr="003D6332">
        <w:rPr>
          <w:lang w:val="lv-LV"/>
        </w:rPr>
        <w:t>I</w:t>
      </w:r>
      <w:r w:rsidRPr="003D6332">
        <w:rPr>
          <w:lang w:val="lv-LV"/>
        </w:rPr>
        <w:t xml:space="preserve">.1.2 </w:t>
      </w:r>
      <w:r w:rsidR="00BD3DC7" w:rsidRPr="003D6332">
        <w:rPr>
          <w:lang w:val="lv-LV"/>
        </w:rPr>
        <w:t xml:space="preserve">Īsa cilvēktiesību vēsture </w:t>
      </w:r>
      <w:bookmarkEnd w:id="10"/>
    </w:p>
    <w:p w:rsidR="00BD3DC7" w:rsidRPr="003D6332" w:rsidRDefault="00BD3DC7" w:rsidP="00BD3DC7">
      <w:pPr>
        <w:rPr>
          <w:lang w:val="lv-LV"/>
        </w:rPr>
      </w:pPr>
    </w:p>
    <w:p w:rsidR="00BD3DC7" w:rsidRPr="003D6332" w:rsidRDefault="00BD3DC7" w:rsidP="0000615F">
      <w:pPr>
        <w:rPr>
          <w:lang w:val="lv-LV"/>
        </w:rPr>
      </w:pPr>
      <w:r w:rsidRPr="003D6332">
        <w:rPr>
          <w:lang w:val="lv-LV"/>
        </w:rPr>
        <w:lastRenderedPageBreak/>
        <w:t>Vispārējā cilvēktiesību deklarācija, ko ANO Ģenerālā asambleja pieņēma 1948. gada 10. decembrī, iezīmēja pirmo soli, lai kā politiskās un sociālās dzīves centru noteiktu "cilvēktiesības". Tās preambulā un 1. pantā, deklarācija nepārprotami proklamē visiem cilvēkiem piemītošās tiesības:</w:t>
      </w:r>
    </w:p>
    <w:p w:rsidR="00987A64" w:rsidRPr="003D6332" w:rsidRDefault="00B3332D" w:rsidP="0000615F">
      <w:pPr>
        <w:rPr>
          <w:lang w:val="lv-LV"/>
        </w:rPr>
      </w:pPr>
      <w:r w:rsidRPr="003D6332">
        <w:rPr>
          <w:lang w:val="lv-LV"/>
        </w:rPr>
        <w:t xml:space="preserve"> </w:t>
      </w:r>
      <w:r w:rsidR="00BD3DC7" w:rsidRPr="003D6332">
        <w:rPr>
          <w:lang w:val="lv-LV"/>
        </w:rPr>
        <w:t>„Cilvēktiesību neievērošana un nicinājums noved pie barbariskiem aktiem, kas izraisa sašu</w:t>
      </w:r>
      <w:r w:rsidRPr="003D6332">
        <w:rPr>
          <w:lang w:val="lv-LV"/>
        </w:rPr>
        <w:t>tumu cilvēces apziņā un pasaulē, kurā cilvēkiem būtu jābauda</w:t>
      </w:r>
      <w:r w:rsidR="00BD3DC7" w:rsidRPr="003D6332">
        <w:rPr>
          <w:lang w:val="lv-LV"/>
        </w:rPr>
        <w:t xml:space="preserve"> vārda un pārliecības</w:t>
      </w:r>
      <w:r w:rsidRPr="003D6332">
        <w:rPr>
          <w:lang w:val="lv-LV"/>
        </w:rPr>
        <w:t xml:space="preserve"> brīvība un brīvība</w:t>
      </w:r>
      <w:r w:rsidR="00BD3DC7" w:rsidRPr="003D6332">
        <w:rPr>
          <w:lang w:val="lv-LV"/>
        </w:rPr>
        <w:t xml:space="preserve"> no bailēm... Visi cilvēki piedzimst brīvi un vienlīdzīgi savā cieņā un tiesībās</w:t>
      </w:r>
      <w:r w:rsidR="00987A64" w:rsidRPr="003D6332">
        <w:rPr>
          <w:lang w:val="lv-LV"/>
        </w:rPr>
        <w:t>”.</w:t>
      </w:r>
    </w:p>
    <w:p w:rsidR="00B3332D" w:rsidRPr="003D6332" w:rsidRDefault="00B3332D" w:rsidP="0000615F">
      <w:pPr>
        <w:rPr>
          <w:lang w:val="lv-LV"/>
        </w:rPr>
      </w:pPr>
      <w:r w:rsidRPr="003D6332">
        <w:rPr>
          <w:lang w:val="lv-LV"/>
        </w:rPr>
        <w:t xml:space="preserve">Turpmākajos 50 gados, kļuva skaidrs, ka </w:t>
      </w:r>
      <w:r w:rsidR="005A1894" w:rsidRPr="003D6332">
        <w:rPr>
          <w:lang w:val="lv-LV"/>
        </w:rPr>
        <w:t xml:space="preserve">ir nepieciešami </w:t>
      </w:r>
      <w:r w:rsidRPr="003D6332">
        <w:rPr>
          <w:lang w:val="lv-LV"/>
        </w:rPr>
        <w:t>konkr</w:t>
      </w:r>
      <w:r w:rsidR="005A1894" w:rsidRPr="003D6332">
        <w:rPr>
          <w:lang w:val="lv-LV"/>
        </w:rPr>
        <w:t>ētāki Starptautiskie līgumi, kas</w:t>
      </w:r>
      <w:r w:rsidRPr="003D6332">
        <w:rPr>
          <w:lang w:val="lv-LV"/>
        </w:rPr>
        <w:t xml:space="preserve"> precizēt</w:t>
      </w:r>
      <w:r w:rsidR="005A1894" w:rsidRPr="003D6332">
        <w:rPr>
          <w:lang w:val="lv-LV"/>
        </w:rPr>
        <w:t>u</w:t>
      </w:r>
      <w:r w:rsidRPr="003D6332">
        <w:rPr>
          <w:lang w:val="lv-LV"/>
        </w:rPr>
        <w:t xml:space="preserve"> un labāk definēt</w:t>
      </w:r>
      <w:r w:rsidR="005A1894" w:rsidRPr="003D6332">
        <w:rPr>
          <w:lang w:val="lv-LV"/>
        </w:rPr>
        <w:t>u dažādās tiesības</w:t>
      </w:r>
      <w:r w:rsidRPr="003D6332">
        <w:rPr>
          <w:lang w:val="lv-LV"/>
        </w:rPr>
        <w:t>. Tie ietver</w:t>
      </w:r>
      <w:r w:rsidR="005A1894" w:rsidRPr="003D6332">
        <w:rPr>
          <w:lang w:val="lv-LV"/>
        </w:rPr>
        <w:t xml:space="preserve"> tādus</w:t>
      </w:r>
      <w:r w:rsidRPr="003D6332">
        <w:rPr>
          <w:lang w:val="lv-LV"/>
        </w:rPr>
        <w:t xml:space="preserve"> līgumus</w:t>
      </w:r>
      <w:r w:rsidR="005A1894" w:rsidRPr="003D6332">
        <w:rPr>
          <w:lang w:val="lv-LV"/>
        </w:rPr>
        <w:t xml:space="preserve"> kā</w:t>
      </w:r>
      <w:r w:rsidRPr="003D6332">
        <w:rPr>
          <w:lang w:val="lv-LV"/>
        </w:rPr>
        <w:t>, piemēram, Starptautisk</w:t>
      </w:r>
      <w:r w:rsidR="005A1894" w:rsidRPr="003D6332">
        <w:rPr>
          <w:lang w:val="lv-LV"/>
        </w:rPr>
        <w:t>o paktu</w:t>
      </w:r>
      <w:r w:rsidRPr="003D6332">
        <w:rPr>
          <w:lang w:val="lv-LV"/>
        </w:rPr>
        <w:t xml:space="preserve"> par pilsoniskajām un politiskajām tiesībām un Starptautisko paktu par ekonomiskajām, sociālajām un kultūras tiesībām (1966).</w:t>
      </w:r>
    </w:p>
    <w:p w:rsidR="005A1894" w:rsidRPr="003D6332" w:rsidRDefault="005A1894" w:rsidP="0000615F">
      <w:pPr>
        <w:rPr>
          <w:lang w:val="lv-LV"/>
        </w:rPr>
      </w:pPr>
      <w:r w:rsidRPr="003D6332">
        <w:rPr>
          <w:lang w:val="lv-LV"/>
        </w:rPr>
        <w:t>Invaliditātes kustība arvien vairāk un vairāk uzstāja uz nepieciešamību izstrādāt ANO Konvenciju, koncentrējoties tieši uz</w:t>
      </w:r>
      <w:r w:rsidR="003D6332" w:rsidRPr="003D6332">
        <w:rPr>
          <w:lang w:val="lv-LV"/>
        </w:rPr>
        <w:t xml:space="preserve"> personu ar invaliditāti</w:t>
      </w:r>
      <w:r w:rsidRPr="003D6332">
        <w:rPr>
          <w:lang w:val="lv-LV"/>
        </w:rPr>
        <w:t xml:space="preserve"> tiesībām. 1993. gadā ANO Ģenerālā Asambleja vienojās par "Paraugnoteikumiem par vienlīdzīgām iespējām personām ar invaliditāti". Pēc </w:t>
      </w:r>
      <w:r w:rsidR="00F65EDC" w:rsidRPr="003D6332">
        <w:rPr>
          <w:lang w:val="lv-LV"/>
        </w:rPr>
        <w:t xml:space="preserve">vairāku </w:t>
      </w:r>
      <w:r w:rsidRPr="003D6332">
        <w:rPr>
          <w:lang w:val="lv-LV"/>
        </w:rPr>
        <w:t>g</w:t>
      </w:r>
      <w:r w:rsidR="00F65EDC" w:rsidRPr="003D6332">
        <w:rPr>
          <w:lang w:val="lv-LV"/>
        </w:rPr>
        <w:t>adu dis</w:t>
      </w:r>
      <w:r w:rsidR="003D6332" w:rsidRPr="003D6332">
        <w:rPr>
          <w:lang w:val="lv-LV"/>
        </w:rPr>
        <w:t>kusijām un priekšlikumu izstrādes</w:t>
      </w:r>
      <w:r w:rsidRPr="003D6332">
        <w:rPr>
          <w:lang w:val="lv-LV"/>
        </w:rPr>
        <w:t xml:space="preserve"> ANO</w:t>
      </w:r>
      <w:r w:rsidR="00F65EDC" w:rsidRPr="003D6332">
        <w:rPr>
          <w:lang w:val="lv-LV"/>
        </w:rPr>
        <w:t xml:space="preserve"> ietvaros</w:t>
      </w:r>
      <w:r w:rsidR="003D6332" w:rsidRPr="003D6332">
        <w:rPr>
          <w:lang w:val="lv-LV"/>
        </w:rPr>
        <w:t>, 2006. gadā tika pieņemta</w:t>
      </w:r>
      <w:r w:rsidR="00F65EDC" w:rsidRPr="003D6332">
        <w:rPr>
          <w:lang w:val="lv-LV"/>
        </w:rPr>
        <w:t xml:space="preserve"> vienprātīga vienošanās par ANO Konvenciju</w:t>
      </w:r>
      <w:r w:rsidRPr="003D6332">
        <w:rPr>
          <w:lang w:val="lv-LV"/>
        </w:rPr>
        <w:t xml:space="preserve"> par p</w:t>
      </w:r>
      <w:r w:rsidR="00F65EDC" w:rsidRPr="003D6332">
        <w:rPr>
          <w:lang w:val="lv-LV"/>
        </w:rPr>
        <w:t>ersonu ar invaliditāti tiesībām.</w:t>
      </w:r>
      <w:r w:rsidRPr="003D6332">
        <w:rPr>
          <w:lang w:val="lv-LV"/>
        </w:rPr>
        <w:t xml:space="preserve"> </w:t>
      </w:r>
      <w:r w:rsidR="00F65EDC" w:rsidRPr="003D6332">
        <w:rPr>
          <w:lang w:val="lv-LV"/>
        </w:rPr>
        <w:t>Pirmajos piecos tās darbības gados Konvenciju ratificēja 126 valstis</w:t>
      </w:r>
      <w:r w:rsidRPr="003D6332">
        <w:rPr>
          <w:lang w:val="lv-LV"/>
        </w:rPr>
        <w:t xml:space="preserve">. </w:t>
      </w:r>
    </w:p>
    <w:p w:rsidR="005E2DCC" w:rsidRPr="003D6332" w:rsidRDefault="005E2DCC" w:rsidP="00D73219">
      <w:pPr>
        <w:pStyle w:val="Heading2"/>
        <w:rPr>
          <w:lang w:val="lv-LV"/>
        </w:rPr>
      </w:pPr>
      <w:bookmarkStart w:id="11" w:name="_Toc440290997"/>
      <w:r w:rsidRPr="003D6332">
        <w:rPr>
          <w:lang w:val="lv-LV"/>
        </w:rPr>
        <w:t>I</w:t>
      </w:r>
      <w:r w:rsidR="00987A64" w:rsidRPr="003D6332">
        <w:rPr>
          <w:lang w:val="lv-LV"/>
        </w:rPr>
        <w:t>I</w:t>
      </w:r>
      <w:r w:rsidRPr="003D6332">
        <w:rPr>
          <w:lang w:val="lv-LV"/>
        </w:rPr>
        <w:t xml:space="preserve">.1.3 </w:t>
      </w:r>
      <w:bookmarkEnd w:id="11"/>
      <w:r w:rsidR="00F65EDC" w:rsidRPr="003D6332">
        <w:rPr>
          <w:lang w:val="lv-LV"/>
        </w:rPr>
        <w:t>Cilvēktiesību ietekme uz sociāliem pakalpojumiem</w:t>
      </w:r>
    </w:p>
    <w:p w:rsidR="00F65EDC" w:rsidRPr="003D6332" w:rsidRDefault="00F65EDC" w:rsidP="0000615F">
      <w:pPr>
        <w:rPr>
          <w:lang w:val="lv-LV"/>
        </w:rPr>
      </w:pPr>
    </w:p>
    <w:p w:rsidR="00F65EDC" w:rsidRPr="003D6332" w:rsidRDefault="00B02316" w:rsidP="0000615F">
      <w:pPr>
        <w:rPr>
          <w:lang w:val="lv-LV"/>
        </w:rPr>
      </w:pPr>
      <w:r w:rsidRPr="003D6332">
        <w:rPr>
          <w:lang w:val="lv-LV"/>
        </w:rPr>
        <w:t>Paradigmas maiņ</w:t>
      </w:r>
      <w:r w:rsidR="00664311" w:rsidRPr="003D6332">
        <w:rPr>
          <w:lang w:val="lv-LV"/>
        </w:rPr>
        <w:t>a uz c</w:t>
      </w:r>
      <w:r w:rsidRPr="003D6332">
        <w:rPr>
          <w:lang w:val="lv-LV"/>
        </w:rPr>
        <w:t>ilvēktiesībās balstītu</w:t>
      </w:r>
      <w:r w:rsidR="00F65EDC" w:rsidRPr="003D6332">
        <w:rPr>
          <w:lang w:val="lv-LV"/>
        </w:rPr>
        <w:t xml:space="preserve"> </w:t>
      </w:r>
      <w:r w:rsidR="00664311" w:rsidRPr="003D6332">
        <w:rPr>
          <w:lang w:val="lv-LV"/>
        </w:rPr>
        <w:t>pieeju</w:t>
      </w:r>
      <w:r w:rsidR="00F65EDC" w:rsidRPr="003D6332">
        <w:rPr>
          <w:lang w:val="lv-LV"/>
        </w:rPr>
        <w:t xml:space="preserve"> invalidit</w:t>
      </w:r>
      <w:r w:rsidRPr="003D6332">
        <w:rPr>
          <w:lang w:val="lv-LV"/>
        </w:rPr>
        <w:t xml:space="preserve">ātes sektorā nozīmēja arī </w:t>
      </w:r>
      <w:r w:rsidR="00F65EDC" w:rsidRPr="003D6332">
        <w:rPr>
          <w:lang w:val="lv-LV"/>
        </w:rPr>
        <w:t>politikas</w:t>
      </w:r>
      <w:r w:rsidR="00826F5A" w:rsidRPr="003D6332">
        <w:rPr>
          <w:lang w:val="lv-LV"/>
        </w:rPr>
        <w:t xml:space="preserve"> </w:t>
      </w:r>
      <w:r w:rsidRPr="003D6332">
        <w:rPr>
          <w:lang w:val="lv-LV"/>
        </w:rPr>
        <w:t xml:space="preserve">maiņu </w:t>
      </w:r>
      <w:r w:rsidR="00826F5A" w:rsidRPr="003D6332">
        <w:rPr>
          <w:lang w:val="lv-LV"/>
        </w:rPr>
        <w:t>attiecībā uz</w:t>
      </w:r>
      <w:r w:rsidR="00F65EDC" w:rsidRPr="003D6332">
        <w:rPr>
          <w:lang w:val="lv-LV"/>
        </w:rPr>
        <w:t xml:space="preserve"> </w:t>
      </w:r>
      <w:r w:rsidR="00826F5A" w:rsidRPr="003D6332">
        <w:rPr>
          <w:lang w:val="lv-LV"/>
        </w:rPr>
        <w:t>personām ar invaliditāti un viņiem sniegt</w:t>
      </w:r>
      <w:r w:rsidRPr="003D6332">
        <w:rPr>
          <w:lang w:val="lv-LV"/>
        </w:rPr>
        <w:t>aj</w:t>
      </w:r>
      <w:r w:rsidR="00826F5A" w:rsidRPr="003D6332">
        <w:rPr>
          <w:lang w:val="lv-LV"/>
        </w:rPr>
        <w:t>iem</w:t>
      </w:r>
      <w:r w:rsidR="00F65EDC" w:rsidRPr="003D6332">
        <w:rPr>
          <w:lang w:val="lv-LV"/>
        </w:rPr>
        <w:t xml:space="preserve"> pakalpojumiem. </w:t>
      </w:r>
      <w:r w:rsidR="001B5580" w:rsidRPr="003D6332">
        <w:rPr>
          <w:lang w:val="lv-LV"/>
        </w:rPr>
        <w:t xml:space="preserve">Ir </w:t>
      </w:r>
      <w:r w:rsidR="001B5580" w:rsidRPr="003D6332">
        <w:rPr>
          <w:b/>
          <w:lang w:val="lv-LV"/>
        </w:rPr>
        <w:t>trīs galvenās</w:t>
      </w:r>
      <w:r w:rsidR="00F65EDC" w:rsidRPr="003D6332">
        <w:rPr>
          <w:b/>
          <w:lang w:val="lv-LV"/>
        </w:rPr>
        <w:t xml:space="preserve"> politikas</w:t>
      </w:r>
      <w:r w:rsidR="00F65EDC" w:rsidRPr="003D6332">
        <w:rPr>
          <w:lang w:val="lv-LV"/>
        </w:rPr>
        <w:t xml:space="preserve"> personām ar invaliditāti un pakalpojumiem</w:t>
      </w:r>
      <w:r w:rsidR="001B5580" w:rsidRPr="003D6332">
        <w:rPr>
          <w:lang w:val="lv-LV"/>
        </w:rPr>
        <w:t xml:space="preserve"> </w:t>
      </w:r>
      <w:r w:rsidR="001B5580" w:rsidRPr="003D6332">
        <w:rPr>
          <w:b/>
          <w:lang w:val="lv-LV"/>
        </w:rPr>
        <w:t>paaudzes</w:t>
      </w:r>
      <w:r w:rsidR="00F65EDC" w:rsidRPr="003D6332">
        <w:rPr>
          <w:lang w:val="lv-LV"/>
        </w:rPr>
        <w:t>:</w:t>
      </w:r>
    </w:p>
    <w:p w:rsidR="00987A64" w:rsidRPr="003D6332" w:rsidRDefault="001B5580" w:rsidP="00E213CA">
      <w:pPr>
        <w:pStyle w:val="ListParagraph"/>
        <w:rPr>
          <w:lang w:val="lv-LV"/>
        </w:rPr>
      </w:pPr>
      <w:r w:rsidRPr="003D6332">
        <w:rPr>
          <w:lang w:val="lv-LV"/>
        </w:rPr>
        <w:t>Pirmā paaudze</w:t>
      </w:r>
      <w:r w:rsidR="009612D0" w:rsidRPr="003D6332">
        <w:rPr>
          <w:lang w:val="lv-LV"/>
        </w:rPr>
        <w:t>: Specializēta</w:t>
      </w:r>
      <w:r w:rsidR="00987A64" w:rsidRPr="003D6332">
        <w:rPr>
          <w:lang w:val="lv-LV"/>
        </w:rPr>
        <w:t xml:space="preserve"> &amp; </w:t>
      </w:r>
      <w:r w:rsidR="009612D0" w:rsidRPr="003D6332">
        <w:rPr>
          <w:lang w:val="lv-LV"/>
        </w:rPr>
        <w:t xml:space="preserve">specifiska likumdošana attiecībā uz cilvēkiem ar invaliditāti un pakalpojumiem </w:t>
      </w:r>
    </w:p>
    <w:p w:rsidR="00987A64" w:rsidRPr="003D6332" w:rsidRDefault="009612D0" w:rsidP="00E213CA">
      <w:pPr>
        <w:pStyle w:val="ListParagraph"/>
        <w:rPr>
          <w:lang w:val="lv-LV"/>
        </w:rPr>
      </w:pPr>
      <w:r w:rsidRPr="003D6332">
        <w:rPr>
          <w:lang w:val="lv-LV"/>
        </w:rPr>
        <w:t>Otrā paaudze</w:t>
      </w:r>
      <w:r w:rsidR="00987A64" w:rsidRPr="003D6332">
        <w:rPr>
          <w:lang w:val="lv-LV"/>
        </w:rPr>
        <w:t xml:space="preserve">: </w:t>
      </w:r>
      <w:r w:rsidRPr="003D6332">
        <w:rPr>
          <w:lang w:val="lv-LV"/>
        </w:rPr>
        <w:t xml:space="preserve">invaliditātes aspektu iekļaušana ikvienā politikas jomā </w:t>
      </w:r>
    </w:p>
    <w:p w:rsidR="00987A64" w:rsidRPr="003D6332" w:rsidRDefault="009612D0" w:rsidP="00E213CA">
      <w:pPr>
        <w:pStyle w:val="ListParagraph"/>
        <w:rPr>
          <w:lang w:val="lv-LV"/>
        </w:rPr>
      </w:pPr>
      <w:r w:rsidRPr="003D6332">
        <w:rPr>
          <w:lang w:val="lv-LV"/>
        </w:rPr>
        <w:t>Trešā paaudze</w:t>
      </w:r>
      <w:r w:rsidR="00987A64" w:rsidRPr="003D6332">
        <w:rPr>
          <w:lang w:val="lv-LV"/>
        </w:rPr>
        <w:t xml:space="preserve">: </w:t>
      </w:r>
      <w:r w:rsidRPr="003D6332">
        <w:rPr>
          <w:lang w:val="lv-LV"/>
        </w:rPr>
        <w:t xml:space="preserve">gan invaliditātes aspektu iekļaušana ikvienā politikas jomā, gan specifiskas iniciatīvas, lai labāk nodrošinātu cilvēku ar invaliditāti vajadzības.  </w:t>
      </w:r>
      <w:r w:rsidR="00987A64" w:rsidRPr="003D6332">
        <w:rPr>
          <w:lang w:val="lv-LV"/>
        </w:rPr>
        <w:t xml:space="preserve"> </w:t>
      </w:r>
    </w:p>
    <w:p w:rsidR="009612D0" w:rsidRPr="003D6332" w:rsidRDefault="00671B69" w:rsidP="00987A64">
      <w:pPr>
        <w:rPr>
          <w:rFonts w:cs="Arial"/>
          <w:lang w:val="lv-LV"/>
        </w:rPr>
      </w:pPr>
      <w:r w:rsidRPr="003D6332">
        <w:rPr>
          <w:rFonts w:cs="Arial"/>
          <w:lang w:val="lv-LV"/>
        </w:rPr>
        <w:lastRenderedPageBreak/>
        <w:t>Š</w:t>
      </w:r>
      <w:r w:rsidR="009612D0" w:rsidRPr="003D6332">
        <w:rPr>
          <w:rFonts w:cs="Arial"/>
          <w:lang w:val="lv-LV"/>
        </w:rPr>
        <w:t xml:space="preserve">īs trīs paaudzes pierāda  </w:t>
      </w:r>
      <w:r w:rsidRPr="003D6332">
        <w:rPr>
          <w:rFonts w:cs="Arial"/>
          <w:lang w:val="lv-LV"/>
        </w:rPr>
        <w:t>uztveres</w:t>
      </w:r>
      <w:r w:rsidR="009612D0" w:rsidRPr="003D6332">
        <w:rPr>
          <w:rFonts w:cs="Arial"/>
          <w:lang w:val="lv-LV"/>
        </w:rPr>
        <w:t xml:space="preserve"> </w:t>
      </w:r>
      <w:r w:rsidRPr="003D6332">
        <w:rPr>
          <w:rFonts w:cs="Arial"/>
          <w:lang w:val="lv-LV"/>
        </w:rPr>
        <w:t xml:space="preserve"> un izpratnes</w:t>
      </w:r>
      <w:r w:rsidR="009612D0" w:rsidRPr="003D6332">
        <w:rPr>
          <w:rFonts w:cs="Arial"/>
          <w:lang w:val="lv-LV"/>
        </w:rPr>
        <w:t xml:space="preserve"> par cilvēku ar invaliditāti lomu </w:t>
      </w:r>
      <w:r w:rsidRPr="003D6332">
        <w:rPr>
          <w:rFonts w:cs="Arial"/>
          <w:lang w:val="lv-LV"/>
        </w:rPr>
        <w:t>attīstību</w:t>
      </w:r>
      <w:r w:rsidR="009612D0" w:rsidRPr="003D6332">
        <w:rPr>
          <w:rFonts w:cs="Arial"/>
          <w:lang w:val="lv-LV"/>
        </w:rPr>
        <w:t xml:space="preserve"> visā pasaulē: pirmā ir vairā</w:t>
      </w:r>
      <w:r w:rsidRPr="003D6332">
        <w:rPr>
          <w:rFonts w:cs="Arial"/>
          <w:lang w:val="lv-LV"/>
        </w:rPr>
        <w:t>k "aizsardzības", otrā ir "spēcinošā", bet tā ne vienmēr  pietiekami atzīst</w:t>
      </w:r>
      <w:r w:rsidR="009612D0" w:rsidRPr="003D6332">
        <w:rPr>
          <w:rFonts w:cs="Arial"/>
          <w:lang w:val="lv-LV"/>
        </w:rPr>
        <w:t xml:space="preserve"> </w:t>
      </w:r>
      <w:r w:rsidRPr="003D6332">
        <w:rPr>
          <w:rFonts w:cs="Arial"/>
          <w:lang w:val="lv-LV"/>
        </w:rPr>
        <w:t>cilvēku</w:t>
      </w:r>
      <w:r w:rsidR="009612D0" w:rsidRPr="003D6332">
        <w:rPr>
          <w:rFonts w:cs="Arial"/>
          <w:lang w:val="lv-LV"/>
        </w:rPr>
        <w:t xml:space="preserve"> ar invaliditāti</w:t>
      </w:r>
      <w:r w:rsidRPr="003D6332">
        <w:rPr>
          <w:rFonts w:cs="Arial"/>
          <w:lang w:val="lv-LV"/>
        </w:rPr>
        <w:t xml:space="preserve"> dažādās vajadzības, savukārt trešā </w:t>
      </w:r>
      <w:r w:rsidR="009612D0" w:rsidRPr="003D6332">
        <w:rPr>
          <w:rFonts w:cs="Arial"/>
          <w:lang w:val="lv-LV"/>
        </w:rPr>
        <w:t xml:space="preserve"> "spēcina </w:t>
      </w:r>
      <w:r w:rsidRPr="003D6332">
        <w:rPr>
          <w:rFonts w:cs="Arial"/>
          <w:lang w:val="lv-LV"/>
        </w:rPr>
        <w:t xml:space="preserve">cilvēkus cik </w:t>
      </w:r>
      <w:r w:rsidR="009612D0" w:rsidRPr="003D6332">
        <w:rPr>
          <w:rFonts w:cs="Arial"/>
          <w:lang w:val="lv-LV"/>
        </w:rPr>
        <w:t>vien i</w:t>
      </w:r>
      <w:r w:rsidRPr="003D6332">
        <w:rPr>
          <w:rFonts w:cs="Arial"/>
          <w:lang w:val="lv-LV"/>
        </w:rPr>
        <w:t>espējams, tomēr atzīstot personu</w:t>
      </w:r>
      <w:r w:rsidR="009612D0" w:rsidRPr="003D6332">
        <w:rPr>
          <w:rFonts w:cs="Arial"/>
          <w:lang w:val="lv-LV"/>
        </w:rPr>
        <w:t xml:space="preserve"> ar invaliditāti</w:t>
      </w:r>
      <w:r w:rsidRPr="003D6332">
        <w:rPr>
          <w:rFonts w:cs="Arial"/>
          <w:lang w:val="lv-LV"/>
        </w:rPr>
        <w:t xml:space="preserve"> dažādās vajadzības </w:t>
      </w:r>
      <w:r w:rsidR="009612D0" w:rsidRPr="003D6332">
        <w:rPr>
          <w:rFonts w:cs="Arial"/>
          <w:lang w:val="lv-LV"/>
        </w:rPr>
        <w:t>".</w:t>
      </w:r>
    </w:p>
    <w:p w:rsidR="005E2DCC" w:rsidRPr="003D6332" w:rsidRDefault="00987A64" w:rsidP="00987A64">
      <w:pPr>
        <w:rPr>
          <w:rFonts w:cs="Arial"/>
          <w:lang w:val="lv-LV"/>
        </w:rPr>
      </w:pPr>
      <w:r w:rsidRPr="003D6332">
        <w:rPr>
          <w:rFonts w:cs="Arial"/>
          <w:lang w:val="lv-LV"/>
        </w:rPr>
        <w:t>T</w:t>
      </w:r>
      <w:r w:rsidR="00671B69" w:rsidRPr="003D6332">
        <w:rPr>
          <w:rFonts w:cs="Arial"/>
          <w:lang w:val="lv-LV"/>
        </w:rPr>
        <w:t>rešā paaudze ir pielikusi punktu debatēm par to vai cilvēkiem ar invaliditāti ir jāsniedz specializēti vai vispārējās pieejamības pakalpojumi; abi šie pakalpojumu veidi ir nepieciešami un viens otru papildina</w:t>
      </w:r>
      <w:r w:rsidRPr="003D6332">
        <w:rPr>
          <w:rFonts w:cs="Arial"/>
          <w:lang w:val="lv-LV"/>
        </w:rPr>
        <w:t>.</w:t>
      </w:r>
    </w:p>
    <w:p w:rsidR="005E2DCC" w:rsidRPr="003D6332" w:rsidRDefault="00987A64" w:rsidP="00D73219">
      <w:pPr>
        <w:pStyle w:val="Heading2"/>
        <w:rPr>
          <w:lang w:val="lv-LV"/>
        </w:rPr>
      </w:pPr>
      <w:bookmarkStart w:id="12" w:name="_Toc440290998"/>
      <w:r w:rsidRPr="003D6332">
        <w:rPr>
          <w:lang w:val="lv-LV"/>
        </w:rPr>
        <w:t>I</w:t>
      </w:r>
      <w:r w:rsidR="005E2DCC" w:rsidRPr="003D6332">
        <w:rPr>
          <w:lang w:val="lv-LV"/>
        </w:rPr>
        <w:t>I.</w:t>
      </w:r>
      <w:r w:rsidRPr="003D6332">
        <w:rPr>
          <w:lang w:val="lv-LV"/>
        </w:rPr>
        <w:t>1.4</w:t>
      </w:r>
      <w:r w:rsidR="005E2DCC" w:rsidRPr="003D6332">
        <w:rPr>
          <w:lang w:val="lv-LV"/>
        </w:rPr>
        <w:t xml:space="preserve"> </w:t>
      </w:r>
      <w:r w:rsidR="00671B69" w:rsidRPr="003D6332">
        <w:rPr>
          <w:lang w:val="lv-LV"/>
        </w:rPr>
        <w:t xml:space="preserve">ANO Konvencijas ieviešana caur sociāliem pakalpojumiem </w:t>
      </w:r>
      <w:bookmarkEnd w:id="12"/>
    </w:p>
    <w:p w:rsidR="00671B69" w:rsidRPr="003D6332" w:rsidRDefault="00671B69" w:rsidP="00671B69">
      <w:pPr>
        <w:rPr>
          <w:lang w:val="lv-LV"/>
        </w:rPr>
      </w:pPr>
    </w:p>
    <w:p w:rsidR="00671B69" w:rsidRPr="003D6332" w:rsidRDefault="00EF163F" w:rsidP="00A67EED">
      <w:pPr>
        <w:rPr>
          <w:lang w:val="lv-LV"/>
        </w:rPr>
      </w:pPr>
      <w:r w:rsidRPr="003D6332">
        <w:rPr>
          <w:lang w:val="lv-LV"/>
        </w:rPr>
        <w:t xml:space="preserve">Atbilstoši </w:t>
      </w:r>
      <w:r w:rsidR="00671B69" w:rsidRPr="003D6332">
        <w:rPr>
          <w:lang w:val="lv-LV"/>
        </w:rPr>
        <w:t>moduļa "Apvienoto Nāciju Organizācijas Konvencija par personu ar invaliditāti tie</w:t>
      </w:r>
      <w:r w:rsidRPr="003D6332">
        <w:rPr>
          <w:lang w:val="lv-LV"/>
        </w:rPr>
        <w:t xml:space="preserve">sībām un Eiropas </w:t>
      </w:r>
      <w:r w:rsidR="003D6332" w:rsidRPr="003D6332">
        <w:rPr>
          <w:lang w:val="lv-LV"/>
        </w:rPr>
        <w:t>tiesiskais</w:t>
      </w:r>
      <w:r w:rsidRPr="003D6332">
        <w:rPr>
          <w:lang w:val="lv-LV"/>
        </w:rPr>
        <w:t xml:space="preserve"> konteksts</w:t>
      </w:r>
      <w:r w:rsidR="00671B69" w:rsidRPr="003D6332">
        <w:rPr>
          <w:lang w:val="lv-LV"/>
        </w:rPr>
        <w:t>"</w:t>
      </w:r>
      <w:r w:rsidRPr="003D6332">
        <w:rPr>
          <w:lang w:val="lv-LV"/>
        </w:rPr>
        <w:t xml:space="preserve"> skaidrojumam, ANO Konvencija uzliek par pienākumu</w:t>
      </w:r>
      <w:r w:rsidR="00671B69" w:rsidRPr="003D6332">
        <w:rPr>
          <w:lang w:val="lv-LV"/>
        </w:rPr>
        <w:t xml:space="preserve"> politikas veidotājiem, pakalpojumu sniedzējiem u</w:t>
      </w:r>
      <w:r w:rsidRPr="003D6332">
        <w:rPr>
          <w:lang w:val="lv-LV"/>
        </w:rPr>
        <w:t>n citām ieinteresētajām pusēm</w:t>
      </w:r>
      <w:r w:rsidR="00671B69" w:rsidRPr="003D6332">
        <w:rPr>
          <w:lang w:val="lv-LV"/>
        </w:rPr>
        <w:t xml:space="preserve"> domāt par to, kā nodroš</w:t>
      </w:r>
      <w:r w:rsidRPr="003D6332">
        <w:rPr>
          <w:lang w:val="lv-LV"/>
        </w:rPr>
        <w:t xml:space="preserve">ināt, ka personu ar invaliditāti cilvēktiesības </w:t>
      </w:r>
      <w:r w:rsidR="00671B69" w:rsidRPr="003D6332">
        <w:rPr>
          <w:lang w:val="lv-LV"/>
        </w:rPr>
        <w:t>tiek ievērotas visās dzīves jomās.</w:t>
      </w:r>
    </w:p>
    <w:p w:rsidR="00987A64" w:rsidRPr="003D6332" w:rsidRDefault="00EF163F" w:rsidP="00987A64">
      <w:pPr>
        <w:spacing w:before="240"/>
        <w:rPr>
          <w:lang w:val="lv-LV"/>
        </w:rPr>
      </w:pPr>
      <w:r w:rsidRPr="003D6332">
        <w:rPr>
          <w:lang w:val="lv-LV"/>
        </w:rPr>
        <w:t>Kaut arī lielākā daļa no ANO Konvencijas p</w:t>
      </w:r>
      <w:r w:rsidR="003D6332" w:rsidRPr="003D6332">
        <w:rPr>
          <w:lang w:val="lv-LV"/>
        </w:rPr>
        <w:t>antiem skar pakalpojumu sniedzē</w:t>
      </w:r>
      <w:r w:rsidRPr="003D6332">
        <w:rPr>
          <w:lang w:val="lv-LV"/>
        </w:rPr>
        <w:t xml:space="preserve">jus, tomēr trīs no </w:t>
      </w:r>
      <w:r w:rsidR="003D6332">
        <w:rPr>
          <w:lang w:val="lv-LV"/>
        </w:rPr>
        <w:t xml:space="preserve">Konvencijas </w:t>
      </w:r>
      <w:r w:rsidRPr="003D6332">
        <w:rPr>
          <w:lang w:val="lv-LV"/>
        </w:rPr>
        <w:t xml:space="preserve">pantiem ir jāuzsver īpaši. </w:t>
      </w:r>
    </w:p>
    <w:p w:rsidR="005E2DCC" w:rsidRPr="003D6332" w:rsidRDefault="00EF163F" w:rsidP="00987A64">
      <w:pPr>
        <w:spacing w:before="240"/>
        <w:rPr>
          <w:lang w:val="lv-LV"/>
        </w:rPr>
      </w:pPr>
      <w:r w:rsidRPr="003D6332">
        <w:rPr>
          <w:b/>
          <w:lang w:val="lv-LV"/>
        </w:rPr>
        <w:t>ANO Konvencijas 19</w:t>
      </w:r>
      <w:r w:rsidR="000336A3" w:rsidRPr="003D6332">
        <w:rPr>
          <w:b/>
          <w:lang w:val="lv-LV"/>
        </w:rPr>
        <w:t>.</w:t>
      </w:r>
      <w:r w:rsidRPr="003D6332">
        <w:rPr>
          <w:b/>
          <w:lang w:val="lv-LV"/>
        </w:rPr>
        <w:t xml:space="preserve"> pants</w:t>
      </w:r>
      <w:r w:rsidR="003D6332" w:rsidRPr="003D6332">
        <w:rPr>
          <w:b/>
          <w:lang w:val="lv-LV"/>
        </w:rPr>
        <w:t xml:space="preserve"> </w:t>
      </w:r>
      <w:r w:rsidR="00987A64" w:rsidRPr="003D6332">
        <w:rPr>
          <w:b/>
          <w:lang w:val="lv-LV"/>
        </w:rPr>
        <w:t xml:space="preserve">– </w:t>
      </w:r>
      <w:r w:rsidRPr="003D6332">
        <w:rPr>
          <w:b/>
          <w:lang w:val="lv-LV"/>
        </w:rPr>
        <w:t xml:space="preserve">Patstāvīgs </w:t>
      </w:r>
      <w:r w:rsidR="003D6332" w:rsidRPr="003D6332">
        <w:rPr>
          <w:b/>
          <w:lang w:val="lv-LV"/>
        </w:rPr>
        <w:t>dzīvesveids</w:t>
      </w:r>
      <w:r w:rsidRPr="003D6332">
        <w:rPr>
          <w:b/>
          <w:lang w:val="lv-LV"/>
        </w:rPr>
        <w:t xml:space="preserve"> un iekļaušana sabiedrībā </w:t>
      </w:r>
      <w:r w:rsidRPr="003D6332">
        <w:rPr>
          <w:lang w:val="lv-LV"/>
        </w:rPr>
        <w:t>–</w:t>
      </w:r>
      <w:r w:rsidR="00987A64" w:rsidRPr="003D6332">
        <w:rPr>
          <w:lang w:val="lv-LV"/>
        </w:rPr>
        <w:t xml:space="preserve"> </w:t>
      </w:r>
      <w:r w:rsidRPr="003D6332">
        <w:rPr>
          <w:lang w:val="lv-LV"/>
        </w:rPr>
        <w:t>uzsver, ka</w:t>
      </w:r>
      <w:r w:rsidR="00987A64" w:rsidRPr="003D6332">
        <w:rPr>
          <w:lang w:val="lv-LV"/>
        </w:rPr>
        <w:t xml:space="preserve"> “</w:t>
      </w:r>
      <w:r w:rsidRPr="003D6332">
        <w:rPr>
          <w:i/>
          <w:lang w:val="lv-LV"/>
        </w:rPr>
        <w:t>visām personām ar invaliditāti ir vienlīdzīgas tiesības dzīvot sabiedrībā ar tādu pašu izvēles brīvību kā citiem cilvēkiem</w:t>
      </w:r>
      <w:r w:rsidR="00987A64" w:rsidRPr="003D6332">
        <w:rPr>
          <w:lang w:val="lv-LV"/>
        </w:rPr>
        <w:t>”. Tradi</w:t>
      </w:r>
      <w:r w:rsidRPr="003D6332">
        <w:rPr>
          <w:lang w:val="lv-LV"/>
        </w:rPr>
        <w:t xml:space="preserve">cionāli visā Eiropā sociālo pakalpojumu sniedzējiem bija nozīmīga loma mājokļu pakalpojumu cilvēkiem ar invaliditāti nodrošināšanā. Bieži vien šie mājokļa pakalpojumi spieda cilvēkiem ar invaliditāti dzīvot attālināti no savas ģimenes un vietējās kopienas. Tas bieži noveda pie cilvēku ar invaliditāti tālākas segregācijas un izolācijas. </w:t>
      </w:r>
      <w:r w:rsidR="00987A64" w:rsidRPr="003D6332">
        <w:rPr>
          <w:lang w:val="lv-LV"/>
        </w:rPr>
        <w:t xml:space="preserve"> I</w:t>
      </w:r>
      <w:r w:rsidRPr="003D6332">
        <w:rPr>
          <w:lang w:val="lv-LV"/>
        </w:rPr>
        <w:t xml:space="preserve">r būtiski, lai visas iesaistītās puses – īpaši sociālo pakalpojumu sniedzēji un politikas veidotāji – atspoguļotu un veiktu darbības, lai </w:t>
      </w:r>
    </w:p>
    <w:p w:rsidR="00987A64" w:rsidRPr="003D6332" w:rsidRDefault="00EF163F" w:rsidP="00E213CA">
      <w:pPr>
        <w:pStyle w:val="ListParagraph"/>
        <w:numPr>
          <w:ilvl w:val="0"/>
          <w:numId w:val="20"/>
        </w:numPr>
        <w:rPr>
          <w:lang w:val="lv-LV"/>
        </w:rPr>
      </w:pPr>
      <w:r w:rsidRPr="003D6332">
        <w:rPr>
          <w:lang w:val="lv-LV"/>
        </w:rPr>
        <w:t>Nodrošinātu personām ar invaliditāti iespējas d</w:t>
      </w:r>
      <w:r w:rsidR="00D00082" w:rsidRPr="003D6332">
        <w:rPr>
          <w:lang w:val="lv-LV"/>
        </w:rPr>
        <w:t>z</w:t>
      </w:r>
      <w:r w:rsidRPr="003D6332">
        <w:rPr>
          <w:lang w:val="lv-LV"/>
        </w:rPr>
        <w:t>īvot kur un ar ko kopā tās vēlas;</w:t>
      </w:r>
    </w:p>
    <w:p w:rsidR="00987A64" w:rsidRPr="003D6332" w:rsidRDefault="000336A3" w:rsidP="00E213CA">
      <w:pPr>
        <w:pStyle w:val="ListParagraph"/>
        <w:numPr>
          <w:ilvl w:val="0"/>
          <w:numId w:val="20"/>
        </w:numPr>
        <w:rPr>
          <w:lang w:val="lv-LV"/>
        </w:rPr>
      </w:pPr>
      <w:r w:rsidRPr="003D6332">
        <w:rPr>
          <w:lang w:val="lv-LV"/>
        </w:rPr>
        <w:lastRenderedPageBreak/>
        <w:t xml:space="preserve">Attīstītu dažāda veida pakalpojumus mājas vidē, mājokļa pakalpojumus un citus atbalsta pakalpojumus vietējā kopienā un novērstu cilvēku izolāciju no vietējās sabiedrības; </w:t>
      </w:r>
    </w:p>
    <w:p w:rsidR="00987A64" w:rsidRPr="003D6332" w:rsidRDefault="000336A3" w:rsidP="00E213CA">
      <w:pPr>
        <w:pStyle w:val="ListParagraph"/>
        <w:numPr>
          <w:ilvl w:val="0"/>
          <w:numId w:val="20"/>
        </w:numPr>
        <w:rPr>
          <w:lang w:val="lv-LV"/>
        </w:rPr>
      </w:pPr>
      <w:r w:rsidRPr="003D6332">
        <w:rPr>
          <w:lang w:val="lv-LV"/>
        </w:rPr>
        <w:t xml:space="preserve">Nodrošinātu, ka </w:t>
      </w:r>
      <w:r w:rsidR="003D6332" w:rsidRPr="003D6332">
        <w:rPr>
          <w:lang w:val="lv-LV"/>
        </w:rPr>
        <w:t>sabiedrībai</w:t>
      </w:r>
      <w:r w:rsidRPr="003D6332">
        <w:rPr>
          <w:lang w:val="lv-LV"/>
        </w:rPr>
        <w:t xml:space="preserve"> kopumā pieejamie pakalpojumi un mājokļi, būtu vienlīdz</w:t>
      </w:r>
      <w:r w:rsidR="003D6332" w:rsidRPr="003D6332">
        <w:rPr>
          <w:lang w:val="lv-LV"/>
        </w:rPr>
        <w:t xml:space="preserve"> </w:t>
      </w:r>
      <w:r w:rsidRPr="003D6332">
        <w:rPr>
          <w:lang w:val="lv-LV"/>
        </w:rPr>
        <w:t xml:space="preserve">pieejami arī cilvēkiem ar invaliditāti. </w:t>
      </w:r>
    </w:p>
    <w:p w:rsidR="00987A64" w:rsidRPr="003D6332" w:rsidRDefault="000336A3" w:rsidP="00987A64">
      <w:pPr>
        <w:spacing w:before="240"/>
        <w:rPr>
          <w:lang w:val="lv-LV"/>
        </w:rPr>
      </w:pPr>
      <w:r w:rsidRPr="003D6332">
        <w:rPr>
          <w:b/>
          <w:lang w:val="lv-LV"/>
        </w:rPr>
        <w:t>ANO Konvencijas 24. pants</w:t>
      </w:r>
      <w:r w:rsidR="003D6332" w:rsidRPr="003D6332">
        <w:rPr>
          <w:b/>
          <w:lang w:val="lv-LV"/>
        </w:rPr>
        <w:t xml:space="preserve"> </w:t>
      </w:r>
      <w:r w:rsidR="00987A64" w:rsidRPr="003D6332">
        <w:rPr>
          <w:b/>
          <w:lang w:val="lv-LV"/>
        </w:rPr>
        <w:t>– I</w:t>
      </w:r>
      <w:r w:rsidRPr="003D6332">
        <w:rPr>
          <w:b/>
          <w:lang w:val="lv-LV"/>
        </w:rPr>
        <w:t>ekļaujoša izglītība –</w:t>
      </w:r>
      <w:r w:rsidR="00347792" w:rsidRPr="003D6332">
        <w:rPr>
          <w:b/>
          <w:lang w:val="lv-LV"/>
        </w:rPr>
        <w:t xml:space="preserve"> </w:t>
      </w:r>
      <w:r w:rsidRPr="003D6332">
        <w:rPr>
          <w:b/>
          <w:lang w:val="lv-LV"/>
        </w:rPr>
        <w:t>uzsver</w:t>
      </w:r>
      <w:r w:rsidR="00987A64" w:rsidRPr="003D6332">
        <w:rPr>
          <w:lang w:val="lv-LV"/>
        </w:rPr>
        <w:t xml:space="preserve"> “</w:t>
      </w:r>
      <w:r w:rsidRPr="003D6332">
        <w:rPr>
          <w:rStyle w:val="QuoteChar"/>
          <w:lang w:val="lv-LV"/>
        </w:rPr>
        <w:t xml:space="preserve">personu ar invaliditāti </w:t>
      </w:r>
      <w:r w:rsidR="003D6332" w:rsidRPr="003D6332">
        <w:rPr>
          <w:rStyle w:val="QuoteChar"/>
          <w:lang w:val="lv-LV"/>
        </w:rPr>
        <w:t>tiesības</w:t>
      </w:r>
      <w:r w:rsidRPr="003D6332">
        <w:rPr>
          <w:rStyle w:val="QuoteChar"/>
          <w:lang w:val="lv-LV"/>
        </w:rPr>
        <w:t xml:space="preserve"> uz izglītību </w:t>
      </w:r>
      <w:r w:rsidR="00347792" w:rsidRPr="003D6332">
        <w:rPr>
          <w:rStyle w:val="QuoteChar"/>
          <w:lang w:val="lv-LV"/>
        </w:rPr>
        <w:t>[</w:t>
      </w:r>
      <w:r w:rsidR="00987A64" w:rsidRPr="003D6332">
        <w:rPr>
          <w:rStyle w:val="QuoteChar"/>
          <w:lang w:val="lv-LV"/>
        </w:rPr>
        <w:t>…</w:t>
      </w:r>
      <w:r w:rsidR="00347792" w:rsidRPr="003D6332">
        <w:rPr>
          <w:rStyle w:val="QuoteChar"/>
          <w:lang w:val="lv-LV"/>
        </w:rPr>
        <w:t>]</w:t>
      </w:r>
      <w:r w:rsidR="00987A64" w:rsidRPr="003D6332">
        <w:rPr>
          <w:rStyle w:val="QuoteChar"/>
          <w:lang w:val="lv-LV"/>
        </w:rPr>
        <w:t xml:space="preserve"> </w:t>
      </w:r>
      <w:r w:rsidRPr="003D6332">
        <w:rPr>
          <w:rStyle w:val="QuoteChar"/>
          <w:lang w:val="lv-LV"/>
        </w:rPr>
        <w:t>bez diskriminācijas un ar vienlīdzīgām iespējām</w:t>
      </w:r>
      <w:r w:rsidR="00987A64" w:rsidRPr="003D6332">
        <w:rPr>
          <w:lang w:val="lv-LV"/>
        </w:rPr>
        <w:t xml:space="preserve">”. </w:t>
      </w:r>
      <w:r w:rsidRPr="003D6332">
        <w:rPr>
          <w:lang w:val="lv-LV"/>
        </w:rPr>
        <w:t>Vēsturiski, ar institucionalizētām mājokļa pakalpojumu formām vai specializētām izglītības sistēmām, pakalpojumu nodrošināšanas sistēma ne vienmēr ir devusi pietiekamu ieguldījumu iekļaujošas izglītības attīstībā Eiropā</w:t>
      </w:r>
      <w:r w:rsidR="00987A64" w:rsidRPr="003D6332">
        <w:rPr>
          <w:lang w:val="lv-LV"/>
        </w:rPr>
        <w:t xml:space="preserve">. </w:t>
      </w:r>
      <w:r w:rsidRPr="003D6332">
        <w:rPr>
          <w:lang w:val="lv-LV"/>
        </w:rPr>
        <w:t xml:space="preserve">Visām iesaistītajām  pusēm, tai skaitā īpaši pakalpojumu sniedzējiem un politikas veidotājiem, jārīkojas, lai nodrošinātu, ka cilvēki ar invaliditāti  </w:t>
      </w:r>
    </w:p>
    <w:p w:rsidR="00347792" w:rsidRPr="003D6332" w:rsidRDefault="000336A3" w:rsidP="00E213CA">
      <w:pPr>
        <w:pStyle w:val="ListParagraph"/>
        <w:numPr>
          <w:ilvl w:val="0"/>
          <w:numId w:val="20"/>
        </w:numPr>
        <w:rPr>
          <w:lang w:val="lv-LV"/>
        </w:rPr>
      </w:pPr>
      <w:r w:rsidRPr="003D6332">
        <w:rPr>
          <w:lang w:val="lv-LV"/>
        </w:rPr>
        <w:t xml:space="preserve">Tiktu iekļauti vispārējās izglītības sistēmā (bez maksas, nodrošinot saprātīgus pielāgojumus un atbilstošu atbalstu, kā arī ar atbilstoši apmācītiem pedagogiem utt.) </w:t>
      </w:r>
    </w:p>
    <w:p w:rsidR="00347792" w:rsidRPr="003D6332" w:rsidRDefault="00E2129C" w:rsidP="00E213CA">
      <w:pPr>
        <w:pStyle w:val="ListParagraph"/>
        <w:numPr>
          <w:ilvl w:val="0"/>
          <w:numId w:val="20"/>
        </w:numPr>
        <w:rPr>
          <w:lang w:val="lv-LV"/>
        </w:rPr>
      </w:pPr>
      <w:r w:rsidRPr="003D6332">
        <w:rPr>
          <w:lang w:val="lv-LV"/>
        </w:rPr>
        <w:t xml:space="preserve">Tiktu nodrošināta vispārējās augstākā izglītība, profesionālās izglītības, pieaugušo izglītības un mūžizglītības pieejamība. </w:t>
      </w:r>
    </w:p>
    <w:p w:rsidR="0052572A" w:rsidRPr="003D6332" w:rsidRDefault="000336A3" w:rsidP="00E213CA">
      <w:pPr>
        <w:rPr>
          <w:lang w:val="lv-LV"/>
        </w:rPr>
      </w:pPr>
      <w:r w:rsidRPr="003D6332">
        <w:rPr>
          <w:b/>
          <w:lang w:val="lv-LV"/>
        </w:rPr>
        <w:t xml:space="preserve">ANO Konvencijas 27. pants  </w:t>
      </w:r>
      <w:r w:rsidR="0052572A" w:rsidRPr="003D6332">
        <w:rPr>
          <w:b/>
          <w:lang w:val="lv-LV"/>
        </w:rPr>
        <w:t xml:space="preserve">– </w:t>
      </w:r>
      <w:r w:rsidR="00E2129C" w:rsidRPr="003D6332">
        <w:rPr>
          <w:b/>
          <w:lang w:val="lv-LV"/>
        </w:rPr>
        <w:t>Darbs un nodarbinātība</w:t>
      </w:r>
      <w:r w:rsidR="00E2129C" w:rsidRPr="003D6332">
        <w:rPr>
          <w:lang w:val="lv-LV"/>
        </w:rPr>
        <w:t xml:space="preserve"> – apliecina</w:t>
      </w:r>
      <w:r w:rsidR="0052572A" w:rsidRPr="003D6332">
        <w:rPr>
          <w:lang w:val="lv-LV"/>
        </w:rPr>
        <w:t xml:space="preserve"> “</w:t>
      </w:r>
      <w:r w:rsidR="00E2129C" w:rsidRPr="003D6332">
        <w:rPr>
          <w:i/>
          <w:lang w:val="lv-LV"/>
        </w:rPr>
        <w:t>personu ar invaliditāti tiesības uz darbu vienlīdzīgi ar citiem</w:t>
      </w:r>
      <w:r w:rsidR="0052572A" w:rsidRPr="003D6332">
        <w:rPr>
          <w:lang w:val="lv-LV"/>
        </w:rPr>
        <w:t xml:space="preserve">”. </w:t>
      </w:r>
      <w:r w:rsidR="00E2129C" w:rsidRPr="003D6332">
        <w:rPr>
          <w:lang w:val="lv-LV"/>
        </w:rPr>
        <w:t>Agrāk, ar institucionalizētām mājokļa pakalpojumu formām un specializētajām darba formām, pakalpojumu nodrošināšanas sistēma ne vienmēr ir devusi aktīvu ieguldījumu personu ar invaliditāti nodarbinātības veicināšanā.  Ir būtiski, lai visas iesaistītās puses – īpaši sociālo pakalpojumu sniedzēji un politikas veidotāji</w:t>
      </w:r>
      <w:r w:rsidR="003D6332" w:rsidRPr="003D6332">
        <w:rPr>
          <w:lang w:val="lv-LV"/>
        </w:rPr>
        <w:t xml:space="preserve"> </w:t>
      </w:r>
      <w:r w:rsidR="00E2129C" w:rsidRPr="003D6332">
        <w:rPr>
          <w:lang w:val="lv-LV"/>
        </w:rPr>
        <w:t>veiktu darbības, lai</w:t>
      </w:r>
    </w:p>
    <w:p w:rsidR="00E2129C" w:rsidRPr="003D6332" w:rsidRDefault="00E2129C" w:rsidP="00E2129C">
      <w:pPr>
        <w:pStyle w:val="ListParagraph"/>
        <w:numPr>
          <w:ilvl w:val="0"/>
          <w:numId w:val="20"/>
        </w:numPr>
        <w:shd w:val="clear" w:color="auto" w:fill="F5F5F5"/>
        <w:spacing w:after="120"/>
        <w:textAlignment w:val="top"/>
        <w:rPr>
          <w:lang w:val="lv-LV"/>
        </w:rPr>
      </w:pPr>
      <w:r w:rsidRPr="003D6332">
        <w:rPr>
          <w:lang w:val="lv-LV"/>
        </w:rPr>
        <w:t>nodrošinātu, ka personām ar invaliditāti ir efektīva pieeja vispārējās un profesionālās orientācijas programmām, darbā iekārtošanas dienestiem un profesionālajai apmācībai un tālākizglītībai</w:t>
      </w:r>
    </w:p>
    <w:p w:rsidR="0052572A" w:rsidRPr="003D6332" w:rsidRDefault="00E2129C" w:rsidP="00E213CA">
      <w:pPr>
        <w:pStyle w:val="ListParagraph"/>
        <w:numPr>
          <w:ilvl w:val="0"/>
          <w:numId w:val="20"/>
        </w:numPr>
        <w:rPr>
          <w:lang w:val="lv-LV"/>
        </w:rPr>
      </w:pPr>
      <w:r w:rsidRPr="003D6332">
        <w:rPr>
          <w:lang w:val="lv-LV"/>
        </w:rPr>
        <w:t xml:space="preserve">veicinātu nodarbinātības iespējas un karjeras virzību personām ar invaliditāti darba tirgū </w:t>
      </w:r>
      <w:r w:rsidR="0052572A" w:rsidRPr="003D6332">
        <w:rPr>
          <w:lang w:val="lv-LV"/>
        </w:rPr>
        <w:t>(…)</w:t>
      </w:r>
    </w:p>
    <w:p w:rsidR="0052572A" w:rsidRPr="003D6332" w:rsidRDefault="00E2129C" w:rsidP="00E213CA">
      <w:pPr>
        <w:pStyle w:val="ListParagraph"/>
        <w:numPr>
          <w:ilvl w:val="0"/>
          <w:numId w:val="20"/>
        </w:numPr>
        <w:rPr>
          <w:lang w:val="lv-LV"/>
        </w:rPr>
      </w:pPr>
      <w:r w:rsidRPr="003D6332">
        <w:rPr>
          <w:lang w:val="lv-LV"/>
        </w:rPr>
        <w:t xml:space="preserve">nodrošinātu personu ar invaliditāti nodarbinātību privātajā un valsts sektorā </w:t>
      </w:r>
    </w:p>
    <w:p w:rsidR="00347792" w:rsidRPr="003D6332" w:rsidRDefault="00CC376C" w:rsidP="00E213CA">
      <w:pPr>
        <w:pStyle w:val="ListParagraph"/>
        <w:numPr>
          <w:ilvl w:val="0"/>
          <w:numId w:val="20"/>
        </w:numPr>
        <w:rPr>
          <w:lang w:val="lv-LV"/>
        </w:rPr>
      </w:pPr>
      <w:r w:rsidRPr="003D6332">
        <w:rPr>
          <w:lang w:val="lv-LV"/>
        </w:rPr>
        <w:t xml:space="preserve">veicinātu profesionālās rehabilitācijas, darba saglabāšanas un darbā atgriešanās programmas cilvēkiem ar invaliditāti. </w:t>
      </w:r>
    </w:p>
    <w:p w:rsidR="00A67EED" w:rsidRPr="003D6332" w:rsidRDefault="00CC376C" w:rsidP="00A67EED">
      <w:pPr>
        <w:rPr>
          <w:lang w:val="lv-LV"/>
        </w:rPr>
      </w:pPr>
      <w:r w:rsidRPr="003D6332">
        <w:rPr>
          <w:lang w:val="lv-LV"/>
        </w:rPr>
        <w:t>Kopumā visām iesaistītajām pusēm, tai skaitā sociālajiem pakalpojumiem jāmeklē iespējas ANO Konvencijas īstenošanai, nevis barjeru radīšanai.</w:t>
      </w:r>
    </w:p>
    <w:p w:rsidR="005E2DCC" w:rsidRPr="003D6332" w:rsidRDefault="00A67EED" w:rsidP="0000615F">
      <w:pPr>
        <w:pStyle w:val="Heading1"/>
        <w:rPr>
          <w:lang w:val="lv-LV"/>
        </w:rPr>
      </w:pPr>
      <w:bookmarkStart w:id="13" w:name="_Toc440290999"/>
      <w:r w:rsidRPr="003D6332">
        <w:rPr>
          <w:lang w:val="lv-LV"/>
        </w:rPr>
        <w:lastRenderedPageBreak/>
        <w:t>II.2</w:t>
      </w:r>
      <w:r w:rsidR="005E2DCC" w:rsidRPr="003D6332">
        <w:rPr>
          <w:lang w:val="lv-LV"/>
        </w:rPr>
        <w:t xml:space="preserve"> </w:t>
      </w:r>
      <w:bookmarkEnd w:id="13"/>
      <w:r w:rsidR="00D83A7B" w:rsidRPr="003D6332">
        <w:rPr>
          <w:lang w:val="lv-LV"/>
        </w:rPr>
        <w:t>Sociālo pakalpojumu attīstība</w:t>
      </w:r>
    </w:p>
    <w:p w:rsidR="00A67EED" w:rsidRPr="003D6332" w:rsidRDefault="00A67EED" w:rsidP="00D73219">
      <w:pPr>
        <w:pStyle w:val="Heading2"/>
        <w:rPr>
          <w:lang w:val="lv-LV"/>
        </w:rPr>
      </w:pPr>
      <w:bookmarkStart w:id="14" w:name="_Toc440291000"/>
      <w:r w:rsidRPr="003D6332">
        <w:rPr>
          <w:lang w:val="lv-LV"/>
        </w:rPr>
        <w:t xml:space="preserve">II.2.1 </w:t>
      </w:r>
      <w:r w:rsidR="00D83A7B" w:rsidRPr="003D6332">
        <w:rPr>
          <w:lang w:val="lv-LV"/>
        </w:rPr>
        <w:t xml:space="preserve">ANO Konvencijas sekas attiecībā uz sociālajiem pakalpojumiem </w:t>
      </w:r>
      <w:bookmarkEnd w:id="14"/>
    </w:p>
    <w:p w:rsidR="00A67EED" w:rsidRPr="003D6332" w:rsidRDefault="00D83A7B" w:rsidP="00B86D69">
      <w:pPr>
        <w:spacing w:before="240" w:after="0"/>
        <w:rPr>
          <w:b/>
          <w:lang w:val="lv-LV"/>
        </w:rPr>
      </w:pPr>
      <w:r w:rsidRPr="003D6332">
        <w:rPr>
          <w:b/>
          <w:lang w:val="lv-LV"/>
        </w:rPr>
        <w:t>Sadarbība ar vispārējās pieejamības pakalpojumiem</w:t>
      </w:r>
    </w:p>
    <w:p w:rsidR="00A67EED" w:rsidRPr="003D6332" w:rsidRDefault="00D83A7B" w:rsidP="00B86D69">
      <w:pPr>
        <w:rPr>
          <w:lang w:val="lv-LV"/>
        </w:rPr>
      </w:pPr>
      <w:r w:rsidRPr="003D6332">
        <w:rPr>
          <w:lang w:val="lv-LV"/>
        </w:rPr>
        <w:t>Sociālo pakalpojumu mainīgā loma ceļā uz cilvēkus spēcinošu modeli ir, protams, vēl vairāk sarežģījusi ap to veidotās sistēmas.</w:t>
      </w:r>
      <w:r w:rsidR="00A67EED" w:rsidRPr="003D6332">
        <w:rPr>
          <w:lang w:val="lv-LV"/>
        </w:rPr>
        <w:t xml:space="preserve"> </w:t>
      </w:r>
      <w:r w:rsidRPr="003D6332">
        <w:rPr>
          <w:lang w:val="lv-LV"/>
        </w:rPr>
        <w:t xml:space="preserve">Sociālo pakalpojumu sniedzēji vairs nevar turpināt dzīvot izolācijā, nošķirti  no citām ieinteresētām sabiedrības pusēm. Sociālo pakalpojumu sniedzējiem ir aktīvi jāsadarbojas ar </w:t>
      </w:r>
      <w:r w:rsidR="00030E4D" w:rsidRPr="003D6332">
        <w:rPr>
          <w:lang w:val="lv-LV"/>
        </w:rPr>
        <w:t>ieinteresēt</w:t>
      </w:r>
      <w:r w:rsidRPr="003D6332">
        <w:rPr>
          <w:lang w:val="lv-LV"/>
        </w:rPr>
        <w:t xml:space="preserve">ām sabiedrības pusēm, darba tirgu, izglītības nozari, ar sociālo mājokļu sniedzējiem, u.c. Visiem sociālo pakalpojumu sniedzējiem jāstrādā izmantojot uz ārēju sadarbību vērstu metodoloģiju. Pakalpojumu sniedzējiem, kuri aktīvi darbojas nodarbinātības jomā ir jāsadarbojas ar izglītības nozari,  veidojot saskarsmi starp abām jomām. </w:t>
      </w:r>
    </w:p>
    <w:p w:rsidR="00A67EED" w:rsidRPr="003D6332" w:rsidRDefault="00D83A7B" w:rsidP="00B86D69">
      <w:pPr>
        <w:spacing w:before="240" w:after="0"/>
        <w:rPr>
          <w:b/>
          <w:lang w:val="lv-LV"/>
        </w:rPr>
      </w:pPr>
      <w:r w:rsidRPr="003D6332">
        <w:rPr>
          <w:b/>
          <w:lang w:val="lv-LV"/>
        </w:rPr>
        <w:t xml:space="preserve">Plašāks atbalsta un aprūpes spektrs </w:t>
      </w:r>
    </w:p>
    <w:p w:rsidR="00A67EED" w:rsidRPr="003D6332" w:rsidRDefault="00D83A7B" w:rsidP="00B86D69">
      <w:pPr>
        <w:rPr>
          <w:lang w:val="lv-LV"/>
        </w:rPr>
      </w:pPr>
      <w:r w:rsidRPr="003D6332">
        <w:rPr>
          <w:lang w:val="lv-LV"/>
        </w:rPr>
        <w:t xml:space="preserve">Pāreja uz tādiem sociālajiem pakalpojumiem, kas veicina cilvēktiesības, nozīmē arī to, ka </w:t>
      </w:r>
      <w:r w:rsidR="003A7F25" w:rsidRPr="003D6332">
        <w:rPr>
          <w:lang w:val="lv-LV"/>
        </w:rPr>
        <w:t>visā cilvēka dzīves ciklā jāsniedz daudz plašāks aprūpes un atbalsta pakalpojumu spektrs. Tas</w:t>
      </w:r>
      <w:r w:rsidRPr="003D6332">
        <w:rPr>
          <w:lang w:val="lv-LV"/>
        </w:rPr>
        <w:t xml:space="preserve"> ietv</w:t>
      </w:r>
      <w:r w:rsidR="003A7F25" w:rsidRPr="003D6332">
        <w:rPr>
          <w:lang w:val="lv-LV"/>
        </w:rPr>
        <w:t>er tādus pakalpojumus kā agrīnā</w:t>
      </w:r>
      <w:r w:rsidRPr="003D6332">
        <w:rPr>
          <w:lang w:val="lv-LV"/>
        </w:rPr>
        <w:t xml:space="preserve"> </w:t>
      </w:r>
      <w:r w:rsidR="003D6332" w:rsidRPr="003D6332">
        <w:rPr>
          <w:lang w:val="lv-LV"/>
        </w:rPr>
        <w:t>intervence</w:t>
      </w:r>
      <w:r w:rsidR="003A7F25" w:rsidRPr="003D6332">
        <w:rPr>
          <w:lang w:val="lv-LV"/>
        </w:rPr>
        <w:t>, izglītības pakalpojumi, profesionālā izglītība un darba iespējas,</w:t>
      </w:r>
      <w:r w:rsidR="003D6332" w:rsidRPr="003D6332">
        <w:rPr>
          <w:lang w:val="lv-LV"/>
        </w:rPr>
        <w:t xml:space="preserve"> </w:t>
      </w:r>
      <w:r w:rsidRPr="003D6332">
        <w:rPr>
          <w:lang w:val="lv-LV"/>
        </w:rPr>
        <w:t>dienas aprūpes</w:t>
      </w:r>
      <w:r w:rsidR="003A7F25" w:rsidRPr="003D6332">
        <w:rPr>
          <w:lang w:val="lv-LV"/>
        </w:rPr>
        <w:t xml:space="preserve"> pakalpojumi</w:t>
      </w:r>
      <w:r w:rsidRPr="003D6332">
        <w:rPr>
          <w:lang w:val="lv-LV"/>
        </w:rPr>
        <w:t xml:space="preserve">, </w:t>
      </w:r>
      <w:r w:rsidR="003A7F25" w:rsidRPr="003D6332">
        <w:rPr>
          <w:lang w:val="lv-LV"/>
        </w:rPr>
        <w:t>ar atpūtu un ceļojumiem saistītie pakalpojumi un atbalsta pakalpojumi</w:t>
      </w:r>
      <w:r w:rsidRPr="003D6332">
        <w:rPr>
          <w:lang w:val="lv-LV"/>
        </w:rPr>
        <w:t xml:space="preserve"> kopumā</w:t>
      </w:r>
      <w:r w:rsidR="003A7F25" w:rsidRPr="003D6332">
        <w:rPr>
          <w:lang w:val="lv-LV"/>
        </w:rPr>
        <w:t>. Katrs no šiem pakalpojumiem var pārklāties</w:t>
      </w:r>
      <w:r w:rsidRPr="003D6332">
        <w:rPr>
          <w:lang w:val="lv-LV"/>
        </w:rPr>
        <w:t xml:space="preserve"> viens </w:t>
      </w:r>
      <w:r w:rsidR="003A7F25" w:rsidRPr="003D6332">
        <w:rPr>
          <w:lang w:val="lv-LV"/>
        </w:rPr>
        <w:t>ar otru un</w:t>
      </w:r>
      <w:r w:rsidRPr="003D6332">
        <w:rPr>
          <w:lang w:val="lv-LV"/>
        </w:rPr>
        <w:t xml:space="preserve"> attiecas uz konkrētu </w:t>
      </w:r>
      <w:r w:rsidR="003A7F25" w:rsidRPr="003D6332">
        <w:rPr>
          <w:lang w:val="lv-LV"/>
        </w:rPr>
        <w:t xml:space="preserve">cilvēku dzīves </w:t>
      </w:r>
      <w:r w:rsidRPr="003D6332">
        <w:rPr>
          <w:lang w:val="lv-LV"/>
        </w:rPr>
        <w:t xml:space="preserve">daļu </w:t>
      </w:r>
      <w:r w:rsidR="003A7F25" w:rsidRPr="003D6332">
        <w:rPr>
          <w:lang w:val="lv-LV"/>
        </w:rPr>
        <w:t>(un vajadzībām</w:t>
      </w:r>
      <w:r w:rsidRPr="003D6332">
        <w:rPr>
          <w:lang w:val="lv-LV"/>
        </w:rPr>
        <w:t>).</w:t>
      </w:r>
    </w:p>
    <w:p w:rsidR="00E213CA" w:rsidRPr="003D6332" w:rsidRDefault="00E213CA">
      <w:pPr>
        <w:spacing w:line="276" w:lineRule="auto"/>
        <w:rPr>
          <w:b/>
          <w:lang w:val="lv-LV"/>
        </w:rPr>
      </w:pPr>
      <w:r w:rsidRPr="003D6332">
        <w:rPr>
          <w:b/>
          <w:lang w:val="lv-LV"/>
        </w:rPr>
        <w:br w:type="page"/>
      </w:r>
    </w:p>
    <w:p w:rsidR="00A67EED" w:rsidRPr="003D6332" w:rsidRDefault="003A7F25" w:rsidP="00B86D69">
      <w:pPr>
        <w:spacing w:before="240" w:after="0"/>
        <w:rPr>
          <w:b/>
          <w:lang w:val="lv-LV"/>
        </w:rPr>
      </w:pPr>
      <w:r w:rsidRPr="003D6332">
        <w:rPr>
          <w:b/>
          <w:lang w:val="lv-LV"/>
        </w:rPr>
        <w:lastRenderedPageBreak/>
        <w:t xml:space="preserve">Aprūpes un atbalsta pakalpojumu pēctecība </w:t>
      </w:r>
    </w:p>
    <w:p w:rsidR="003A7F25" w:rsidRPr="003D6332" w:rsidRDefault="003A7F25" w:rsidP="00B86D69">
      <w:pPr>
        <w:rPr>
          <w:lang w:val="lv-LV"/>
        </w:rPr>
      </w:pPr>
      <w:r w:rsidRPr="003D6332">
        <w:rPr>
          <w:lang w:val="lv-LV"/>
        </w:rPr>
        <w:t xml:space="preserve">Svarīgi  visas cilvēka dzīves laikā nodrošināt nepārtrauktu aprūpi un atbalstu; it īpaši pārejas posmu laikā. Starp visiem pakalpojumiem, kas paredzēti personām ar invaliditāti, jāattīsta </w:t>
      </w:r>
      <w:r w:rsidR="00E37564" w:rsidRPr="003D6332">
        <w:rPr>
          <w:lang w:val="lv-LV"/>
        </w:rPr>
        <w:t>stipras</w:t>
      </w:r>
      <w:r w:rsidR="00547733" w:rsidRPr="003D6332">
        <w:rPr>
          <w:lang w:val="lv-LV"/>
        </w:rPr>
        <w:t xml:space="preserve">  funkcionālās un informatīvās saites</w:t>
      </w:r>
      <w:r w:rsidRPr="003D6332">
        <w:rPr>
          <w:lang w:val="lv-LV"/>
        </w:rPr>
        <w:t>. Kā jau minēts, īpaši svarīgs aspekts ir tas, lai nodroši</w:t>
      </w:r>
      <w:r w:rsidR="00547733" w:rsidRPr="003D6332">
        <w:rPr>
          <w:lang w:val="lv-LV"/>
        </w:rPr>
        <w:t>nātu vienmērīgu pāreju no viena</w:t>
      </w:r>
      <w:r w:rsidRPr="003D6332">
        <w:rPr>
          <w:lang w:val="lv-LV"/>
        </w:rPr>
        <w:t xml:space="preserve"> vecuma </w:t>
      </w:r>
      <w:r w:rsidR="00547733" w:rsidRPr="003D6332">
        <w:rPr>
          <w:lang w:val="lv-LV"/>
        </w:rPr>
        <w:t>posma</w:t>
      </w:r>
      <w:r w:rsidRPr="003D6332">
        <w:rPr>
          <w:lang w:val="lv-LV"/>
        </w:rPr>
        <w:t xml:space="preserve"> uz otru.</w:t>
      </w:r>
    </w:p>
    <w:p w:rsidR="00A67EED" w:rsidRPr="003D6332" w:rsidRDefault="00547733" w:rsidP="00BF1B37">
      <w:pPr>
        <w:spacing w:after="0"/>
        <w:rPr>
          <w:b/>
          <w:lang w:val="lv-LV"/>
        </w:rPr>
      </w:pPr>
      <w:r w:rsidRPr="003D6332">
        <w:rPr>
          <w:b/>
          <w:lang w:val="lv-LV"/>
        </w:rPr>
        <w:t>Plašāks politikas klāsts</w:t>
      </w:r>
    </w:p>
    <w:p w:rsidR="00A67EED" w:rsidRPr="003D6332" w:rsidRDefault="00547733" w:rsidP="00B86D69">
      <w:pPr>
        <w:rPr>
          <w:lang w:val="lv-LV"/>
        </w:rPr>
      </w:pPr>
      <w:r w:rsidRPr="003D6332">
        <w:rPr>
          <w:lang w:val="lv-LV"/>
        </w:rPr>
        <w:t xml:space="preserve">Šie trīs attīstības virzieni nozīmē, ka sociālo pakalpojumu sniedzējus ietekmē arī plašāks politikas klāsts. </w:t>
      </w:r>
      <w:r w:rsidR="00BC5AED" w:rsidRPr="003D6332">
        <w:rPr>
          <w:lang w:val="lv-LV"/>
        </w:rPr>
        <w:t xml:space="preserve">Iepriekš sociālos pakalpojumus  galvenokārt ietekmēja </w:t>
      </w:r>
      <w:r w:rsidRPr="003D6332">
        <w:rPr>
          <w:lang w:val="lv-LV"/>
        </w:rPr>
        <w:t xml:space="preserve"> veselī</w:t>
      </w:r>
      <w:r w:rsidR="00BC5AED" w:rsidRPr="003D6332">
        <w:rPr>
          <w:lang w:val="lv-LV"/>
        </w:rPr>
        <w:t>bas un sociālās aprūpes politika, savukārt</w:t>
      </w:r>
      <w:r w:rsidRPr="003D6332">
        <w:rPr>
          <w:lang w:val="lv-LV"/>
        </w:rPr>
        <w:t xml:space="preserve"> tagad </w:t>
      </w:r>
      <w:r w:rsidR="00BC5AED" w:rsidRPr="003D6332">
        <w:rPr>
          <w:lang w:val="lv-LV"/>
        </w:rPr>
        <w:t xml:space="preserve">tos </w:t>
      </w:r>
      <w:r w:rsidRPr="003D6332">
        <w:rPr>
          <w:lang w:val="lv-LV"/>
        </w:rPr>
        <w:t>ietekmē arī nodarbi</w:t>
      </w:r>
      <w:r w:rsidR="00BC5AED" w:rsidRPr="003D6332">
        <w:rPr>
          <w:lang w:val="lv-LV"/>
        </w:rPr>
        <w:t>nātības, izglītības</w:t>
      </w:r>
      <w:r w:rsidRPr="003D6332">
        <w:rPr>
          <w:lang w:val="lv-LV"/>
        </w:rPr>
        <w:t>, sociālo mājokļu, bērnu un</w:t>
      </w:r>
      <w:r w:rsidR="00BC5AED" w:rsidRPr="003D6332">
        <w:rPr>
          <w:lang w:val="lv-LV"/>
        </w:rPr>
        <w:t xml:space="preserve"> vecu cilvēku aprūpe, kā arī saistītie finansējuma aspekti un tiesiskās sistēmas</w:t>
      </w:r>
      <w:r w:rsidRPr="003D6332">
        <w:rPr>
          <w:lang w:val="lv-LV"/>
        </w:rPr>
        <w:t>.</w:t>
      </w:r>
    </w:p>
    <w:p w:rsidR="00A67EED" w:rsidRPr="003D6332" w:rsidRDefault="00BC5AED" w:rsidP="00A67EED">
      <w:pPr>
        <w:spacing w:before="240"/>
        <w:rPr>
          <w:lang w:val="lv-LV"/>
        </w:rPr>
      </w:pPr>
      <w:r w:rsidRPr="003D6332">
        <w:rPr>
          <w:lang w:val="lv-LV"/>
        </w:rPr>
        <w:t xml:space="preserve">Ne tikai politika kļūst plašāka, tā aizvien biežāk tiek īstenota dažādos varas līmeņos (vietējā, reģionālā, valsts, Eiropas) vai ietver vairākus varas līmeņus vienlaicīgi. Tam labs </w:t>
      </w:r>
      <w:r w:rsidR="003D6332" w:rsidRPr="003D6332">
        <w:rPr>
          <w:lang w:val="lv-LV"/>
        </w:rPr>
        <w:t>piemērs</w:t>
      </w:r>
      <w:r w:rsidRPr="003D6332">
        <w:rPr>
          <w:lang w:val="lv-LV"/>
        </w:rPr>
        <w:t xml:space="preserve"> ir publiskie iepirkumi, kur</w:t>
      </w:r>
      <w:r w:rsidR="00A67EED" w:rsidRPr="003D6332">
        <w:rPr>
          <w:lang w:val="lv-LV"/>
        </w:rPr>
        <w:t>:</w:t>
      </w:r>
    </w:p>
    <w:p w:rsidR="00A67EED" w:rsidRPr="003D6332" w:rsidRDefault="00BC5AED" w:rsidP="00BC5AED">
      <w:pPr>
        <w:pStyle w:val="ListParagraph"/>
        <w:numPr>
          <w:ilvl w:val="0"/>
          <w:numId w:val="23"/>
        </w:numPr>
        <w:rPr>
          <w:lang w:val="lv-LV"/>
        </w:rPr>
      </w:pPr>
      <w:r w:rsidRPr="003D6332">
        <w:rPr>
          <w:lang w:val="lv-LV"/>
        </w:rPr>
        <w:t>Vispārējās vadlīnijas attiecībā uz noteikumiem ir noteiktas Eiropas līmenī (ES publiskā iepirkuma direktīva);</w:t>
      </w:r>
    </w:p>
    <w:p w:rsidR="00A67EED" w:rsidRPr="003D6332" w:rsidRDefault="00BC5AED" w:rsidP="00BC5AED">
      <w:pPr>
        <w:pStyle w:val="ListParagraph"/>
        <w:numPr>
          <w:ilvl w:val="0"/>
          <w:numId w:val="23"/>
        </w:numPr>
        <w:rPr>
          <w:lang w:val="lv-LV"/>
        </w:rPr>
      </w:pPr>
      <w:r w:rsidRPr="003D6332">
        <w:rPr>
          <w:lang w:val="lv-LV"/>
        </w:rPr>
        <w:t>ES tiesību akti ir jāpārnes valsts tiesību aktos dalībvalstīs;</w:t>
      </w:r>
    </w:p>
    <w:p w:rsidR="005E2DCC" w:rsidRPr="003D6332" w:rsidRDefault="00BC5AED" w:rsidP="00E213CA">
      <w:pPr>
        <w:pStyle w:val="ListParagraph"/>
        <w:numPr>
          <w:ilvl w:val="0"/>
          <w:numId w:val="23"/>
        </w:numPr>
        <w:rPr>
          <w:lang w:val="lv-LV"/>
        </w:rPr>
      </w:pPr>
      <w:r w:rsidRPr="003D6332">
        <w:rPr>
          <w:lang w:val="lv-LV"/>
        </w:rPr>
        <w:t>Vietējām un reģionālajām pašvaldībām ir jāīsteno nacionālā likumdošana.</w:t>
      </w:r>
    </w:p>
    <w:p w:rsidR="00B02316" w:rsidRPr="003D6332" w:rsidRDefault="00B02316" w:rsidP="00D73219">
      <w:pPr>
        <w:pStyle w:val="Heading2"/>
        <w:rPr>
          <w:lang w:val="lv-LV"/>
        </w:rPr>
      </w:pPr>
      <w:bookmarkStart w:id="15" w:name="_Toc440291001"/>
    </w:p>
    <w:p w:rsidR="00A67EED" w:rsidRPr="003D6332" w:rsidRDefault="00A67EED" w:rsidP="00D73219">
      <w:pPr>
        <w:pStyle w:val="Heading2"/>
        <w:rPr>
          <w:lang w:val="lv-LV"/>
        </w:rPr>
      </w:pPr>
      <w:r w:rsidRPr="003D6332">
        <w:rPr>
          <w:lang w:val="lv-LV"/>
        </w:rPr>
        <w:t xml:space="preserve">II.2.2 </w:t>
      </w:r>
      <w:bookmarkEnd w:id="15"/>
      <w:r w:rsidR="00BC5AED" w:rsidRPr="003D6332">
        <w:rPr>
          <w:lang w:val="lv-LV"/>
        </w:rPr>
        <w:t>Izpratne par sociālo pakalpojumu kvalitāti</w:t>
      </w:r>
    </w:p>
    <w:p w:rsidR="00E37564" w:rsidRPr="003D6332" w:rsidRDefault="00E37564" w:rsidP="00E37564">
      <w:pPr>
        <w:rPr>
          <w:lang w:val="lv-LV"/>
        </w:rPr>
      </w:pPr>
    </w:p>
    <w:p w:rsidR="00A67EED" w:rsidRPr="003D6332" w:rsidRDefault="00A67EED" w:rsidP="008F2603">
      <w:pPr>
        <w:rPr>
          <w:lang w:val="lv-LV"/>
        </w:rPr>
      </w:pPr>
      <w:r w:rsidRPr="003D6332">
        <w:rPr>
          <w:lang w:val="lv-LV"/>
        </w:rPr>
        <w:t>2010</w:t>
      </w:r>
      <w:r w:rsidR="00BC5AED" w:rsidRPr="003D6332">
        <w:rPr>
          <w:lang w:val="lv-LV"/>
        </w:rPr>
        <w:t xml:space="preserve">.gadā Eiropas Savienības sociālās aizsardzības komiteja publicēja </w:t>
      </w:r>
      <w:r w:rsidR="00E37564" w:rsidRPr="003D6332">
        <w:rPr>
          <w:lang w:val="lv-LV"/>
        </w:rPr>
        <w:t>Brīvprātīgo</w:t>
      </w:r>
      <w:r w:rsidR="00155451" w:rsidRPr="003D6332">
        <w:rPr>
          <w:lang w:val="lv-LV"/>
        </w:rPr>
        <w:t xml:space="preserve"> Eiropas Kvalitātes Ietvaru, kura mērķis ir veidot kopīgu izpratni par sociālo pakalpojumu kvalitāti Eiropas Savienībā. Ietvara mērķis ir mudināt valsts iestādes ievērot kvalitātes principus,  norādot, ka tas varētu ievērojami uzlabot savu spēju organizēt un nodrošināt augstas kvalitātes sociālos pakalpojumus.</w:t>
      </w:r>
    </w:p>
    <w:p w:rsidR="005E2DCC" w:rsidRPr="003D6332" w:rsidRDefault="00155451" w:rsidP="008F2603">
      <w:pPr>
        <w:rPr>
          <w:lang w:val="lv-LV"/>
        </w:rPr>
      </w:pPr>
      <w:r w:rsidRPr="003D6332">
        <w:rPr>
          <w:lang w:val="lv-LV"/>
        </w:rPr>
        <w:t>Pamatojoties uz šiem principiem un sadarbībā ar tās biedriem</w:t>
      </w:r>
      <w:r w:rsidR="00A67EED" w:rsidRPr="003D6332">
        <w:rPr>
          <w:lang w:val="lv-LV"/>
        </w:rPr>
        <w:t xml:space="preserve">, EASPD </w:t>
      </w:r>
      <w:r w:rsidR="00E37564" w:rsidRPr="003D6332">
        <w:rPr>
          <w:lang w:val="lv-LV"/>
        </w:rPr>
        <w:t xml:space="preserve">ir </w:t>
      </w:r>
      <w:r w:rsidRPr="003D6332">
        <w:rPr>
          <w:lang w:val="lv-LV"/>
        </w:rPr>
        <w:t xml:space="preserve">izstrādājis </w:t>
      </w:r>
      <w:r w:rsidR="00A67EED" w:rsidRPr="003D6332">
        <w:rPr>
          <w:lang w:val="lv-LV"/>
        </w:rPr>
        <w:t xml:space="preserve">10 </w:t>
      </w:r>
      <w:r w:rsidRPr="003D6332">
        <w:rPr>
          <w:lang w:val="lv-LV"/>
        </w:rPr>
        <w:t>galvenās kvalitātes prasības sociālajiem pakalpojumiem</w:t>
      </w:r>
      <w:r w:rsidR="00A67EED" w:rsidRPr="003D6332">
        <w:rPr>
          <w:lang w:val="lv-LV"/>
        </w:rPr>
        <w:t>:</w:t>
      </w:r>
    </w:p>
    <w:p w:rsidR="00A67EED" w:rsidRPr="003D6332" w:rsidRDefault="00155451" w:rsidP="00E213CA">
      <w:pPr>
        <w:pStyle w:val="ListParagraph"/>
        <w:numPr>
          <w:ilvl w:val="0"/>
          <w:numId w:val="24"/>
        </w:numPr>
        <w:rPr>
          <w:lang w:val="lv-LV"/>
        </w:rPr>
      </w:pPr>
      <w:r w:rsidRPr="003D6332">
        <w:rPr>
          <w:lang w:val="lv-LV"/>
        </w:rPr>
        <w:lastRenderedPageBreak/>
        <w:t>Pakalpojumiem jāveicina pilnīga līdzdalība, iekļaušana un vienlīdzīgas iespējas</w:t>
      </w:r>
      <w:r w:rsidR="00A67EED" w:rsidRPr="003D6332">
        <w:rPr>
          <w:lang w:val="lv-LV"/>
        </w:rPr>
        <w:t>;</w:t>
      </w:r>
    </w:p>
    <w:p w:rsidR="00A67EED" w:rsidRPr="003D6332" w:rsidRDefault="00155451" w:rsidP="00E213CA">
      <w:pPr>
        <w:pStyle w:val="ListParagraph"/>
        <w:numPr>
          <w:ilvl w:val="0"/>
          <w:numId w:val="24"/>
        </w:numPr>
        <w:rPr>
          <w:lang w:val="lv-LV"/>
        </w:rPr>
      </w:pPr>
      <w:r w:rsidRPr="003D6332">
        <w:rPr>
          <w:lang w:val="lv-LV"/>
        </w:rPr>
        <w:t xml:space="preserve">Pakalpojumus jāveido ap cilvēkiem ar invaliditāti un viņu mainīgām vajadzībām:  pielāgoti – uz personu centrēti pakalpojumi; </w:t>
      </w:r>
    </w:p>
    <w:p w:rsidR="00A67EED" w:rsidRPr="003D6332" w:rsidRDefault="00155451" w:rsidP="00E213CA">
      <w:pPr>
        <w:pStyle w:val="ListParagraph"/>
        <w:numPr>
          <w:ilvl w:val="0"/>
          <w:numId w:val="24"/>
        </w:numPr>
        <w:rPr>
          <w:lang w:val="lv-LV"/>
        </w:rPr>
      </w:pPr>
      <w:r w:rsidRPr="003D6332">
        <w:rPr>
          <w:lang w:val="lv-LV"/>
        </w:rPr>
        <w:t xml:space="preserve">Pakalpojumiem jābūt sabiedrībā balstītiem, t.i. jāsakņojas sabiedrībā; </w:t>
      </w:r>
    </w:p>
    <w:p w:rsidR="00A67EED" w:rsidRPr="003D6332" w:rsidRDefault="00E37564" w:rsidP="00E213CA">
      <w:pPr>
        <w:pStyle w:val="ListParagraph"/>
        <w:numPr>
          <w:ilvl w:val="0"/>
          <w:numId w:val="24"/>
        </w:numPr>
        <w:rPr>
          <w:lang w:val="lv-LV"/>
        </w:rPr>
      </w:pPr>
      <w:r w:rsidRPr="003D6332">
        <w:rPr>
          <w:lang w:val="lv-LV"/>
        </w:rPr>
        <w:t>Pakalpojumi jāveido cieš</w:t>
      </w:r>
      <w:r w:rsidR="00E0025F" w:rsidRPr="003D6332">
        <w:rPr>
          <w:lang w:val="lv-LV"/>
        </w:rPr>
        <w:t xml:space="preserve">ā sadarbībā ar visām ieinteresētājām pusēm; </w:t>
      </w:r>
    </w:p>
    <w:p w:rsidR="00A67EED" w:rsidRPr="003D6332" w:rsidRDefault="00E0025F" w:rsidP="00E213CA">
      <w:pPr>
        <w:pStyle w:val="ListParagraph"/>
        <w:numPr>
          <w:ilvl w:val="0"/>
          <w:numId w:val="24"/>
        </w:numPr>
        <w:rPr>
          <w:lang w:val="lv-LV"/>
        </w:rPr>
      </w:pPr>
      <w:r w:rsidRPr="003D6332">
        <w:rPr>
          <w:lang w:val="lv-LV"/>
        </w:rPr>
        <w:t>Pāreja no holistiskas pieejas uz daudzpusīgu pieeju</w:t>
      </w:r>
      <w:r w:rsidR="00A67EED" w:rsidRPr="003D6332">
        <w:rPr>
          <w:lang w:val="lv-LV"/>
        </w:rPr>
        <w:t>;</w:t>
      </w:r>
    </w:p>
    <w:p w:rsidR="00A67EED" w:rsidRPr="003D6332" w:rsidRDefault="00E0025F" w:rsidP="00E213CA">
      <w:pPr>
        <w:pStyle w:val="ListParagraph"/>
        <w:numPr>
          <w:ilvl w:val="0"/>
          <w:numId w:val="24"/>
        </w:numPr>
        <w:rPr>
          <w:lang w:val="lv-LV"/>
        </w:rPr>
      </w:pPr>
      <w:r w:rsidRPr="003D6332">
        <w:rPr>
          <w:lang w:val="lv-LV"/>
        </w:rPr>
        <w:t>Pakalpojumus jānodrošina atbilstošam, izglītotam un labi vadītam personālam</w:t>
      </w:r>
      <w:r w:rsidR="00A67EED" w:rsidRPr="003D6332">
        <w:rPr>
          <w:lang w:val="lv-LV"/>
        </w:rPr>
        <w:t xml:space="preserve">; </w:t>
      </w:r>
    </w:p>
    <w:p w:rsidR="00A67EED" w:rsidRPr="003D6332" w:rsidRDefault="00E0025F" w:rsidP="00E213CA">
      <w:pPr>
        <w:pStyle w:val="ListParagraph"/>
        <w:numPr>
          <w:ilvl w:val="0"/>
          <w:numId w:val="24"/>
        </w:numPr>
        <w:rPr>
          <w:lang w:val="lv-LV"/>
        </w:rPr>
      </w:pPr>
      <w:r w:rsidRPr="003D6332">
        <w:rPr>
          <w:lang w:val="lv-LV"/>
        </w:rPr>
        <w:t>Jāļauj palikt kopā sociālajam tīklojumam (ģimenei u.c.)</w:t>
      </w:r>
      <w:r w:rsidR="00A67EED" w:rsidRPr="003D6332">
        <w:rPr>
          <w:lang w:val="lv-LV"/>
        </w:rPr>
        <w:t>;</w:t>
      </w:r>
    </w:p>
    <w:p w:rsidR="00A67EED" w:rsidRPr="003D6332" w:rsidRDefault="00E0025F" w:rsidP="00E213CA">
      <w:pPr>
        <w:pStyle w:val="ListParagraph"/>
        <w:numPr>
          <w:ilvl w:val="0"/>
          <w:numId w:val="24"/>
        </w:numPr>
        <w:rPr>
          <w:lang w:val="lv-LV"/>
        </w:rPr>
      </w:pPr>
      <w:r w:rsidRPr="003D6332">
        <w:rPr>
          <w:lang w:val="lv-LV"/>
        </w:rPr>
        <w:t>Pakalpoju</w:t>
      </w:r>
      <w:r w:rsidR="00E37564" w:rsidRPr="003D6332">
        <w:rPr>
          <w:lang w:val="lv-LV"/>
        </w:rPr>
        <w:t>m</w:t>
      </w:r>
      <w:r w:rsidRPr="003D6332">
        <w:rPr>
          <w:lang w:val="lv-LV"/>
        </w:rPr>
        <w:t>iem jābalstās uz iesaistīto pušu</w:t>
      </w:r>
      <w:r w:rsidR="00E37564" w:rsidRPr="003D6332">
        <w:rPr>
          <w:lang w:val="lv-LV"/>
        </w:rPr>
        <w:t xml:space="preserve"> sadarbību</w:t>
      </w:r>
      <w:r w:rsidR="00A67EED" w:rsidRPr="003D6332">
        <w:rPr>
          <w:lang w:val="lv-LV"/>
        </w:rPr>
        <w:t>;</w:t>
      </w:r>
    </w:p>
    <w:p w:rsidR="00A67EED" w:rsidRPr="003D6332" w:rsidRDefault="00E37564" w:rsidP="00E213CA">
      <w:pPr>
        <w:pStyle w:val="ListParagraph"/>
        <w:numPr>
          <w:ilvl w:val="0"/>
          <w:numId w:val="24"/>
        </w:numPr>
        <w:rPr>
          <w:lang w:val="lv-LV"/>
        </w:rPr>
      </w:pPr>
      <w:r w:rsidRPr="003D6332">
        <w:rPr>
          <w:lang w:val="lv-LV"/>
        </w:rPr>
        <w:t>Pakalpojumam jā</w:t>
      </w:r>
      <w:r w:rsidR="00E0025F" w:rsidRPr="003D6332">
        <w:rPr>
          <w:lang w:val="lv-LV"/>
        </w:rPr>
        <w:t>nodrošina visu pakalpojuma saņēmēju drošība</w:t>
      </w:r>
      <w:r w:rsidR="00A67EED" w:rsidRPr="003D6332">
        <w:rPr>
          <w:lang w:val="lv-LV"/>
        </w:rPr>
        <w:t>;</w:t>
      </w:r>
    </w:p>
    <w:p w:rsidR="00A67EED" w:rsidRPr="003D6332" w:rsidRDefault="00E0025F" w:rsidP="00E213CA">
      <w:pPr>
        <w:pStyle w:val="ListParagraph"/>
        <w:numPr>
          <w:ilvl w:val="0"/>
          <w:numId w:val="24"/>
        </w:numPr>
        <w:rPr>
          <w:lang w:val="lv-LV"/>
        </w:rPr>
      </w:pPr>
      <w:r w:rsidRPr="003D6332">
        <w:rPr>
          <w:lang w:val="lv-LV"/>
        </w:rPr>
        <w:t>Jādod iespējas veikt reālas un informācijā balstītas izvēles</w:t>
      </w:r>
      <w:r w:rsidR="00A67EED" w:rsidRPr="003D6332">
        <w:rPr>
          <w:lang w:val="lv-LV"/>
        </w:rPr>
        <w:t>.</w:t>
      </w:r>
    </w:p>
    <w:p w:rsidR="00A67EED" w:rsidRDefault="00A67EED" w:rsidP="00D73219">
      <w:pPr>
        <w:pStyle w:val="Heading2"/>
        <w:rPr>
          <w:lang w:val="lv-LV"/>
        </w:rPr>
      </w:pPr>
      <w:bookmarkStart w:id="16" w:name="_Toc440291002"/>
      <w:r w:rsidRPr="003D6332">
        <w:rPr>
          <w:lang w:val="lv-LV"/>
        </w:rPr>
        <w:t xml:space="preserve">II.2.3 </w:t>
      </w:r>
      <w:bookmarkEnd w:id="16"/>
      <w:r w:rsidR="00E0025F" w:rsidRPr="003D6332">
        <w:rPr>
          <w:lang w:val="lv-LV"/>
        </w:rPr>
        <w:t>Sociālie pakalpojumi kā risinājums</w:t>
      </w:r>
    </w:p>
    <w:p w:rsidR="00363005" w:rsidRPr="00363005" w:rsidRDefault="00363005" w:rsidP="00363005">
      <w:pPr>
        <w:rPr>
          <w:lang w:val="lv-LV"/>
        </w:rPr>
      </w:pPr>
    </w:p>
    <w:p w:rsidR="00E0025F" w:rsidRPr="003D6332" w:rsidRDefault="00E0025F" w:rsidP="008F2603">
      <w:pPr>
        <w:rPr>
          <w:lang w:val="lv-LV"/>
        </w:rPr>
      </w:pPr>
      <w:r w:rsidRPr="003D6332">
        <w:rPr>
          <w:lang w:val="lv-LV"/>
        </w:rPr>
        <w:t>Ir skaidrs, ka sociālo pakalpojumu sniedzēju loma un darbība ir daudzkārt daudzveidīgāka, plašāka un sarežģītāka</w:t>
      </w:r>
      <w:r w:rsidR="00363005">
        <w:rPr>
          <w:lang w:val="lv-LV"/>
        </w:rPr>
        <w:t>, nekā tā</w:t>
      </w:r>
      <w:r w:rsidRPr="003D6332">
        <w:rPr>
          <w:lang w:val="lv-LV"/>
        </w:rPr>
        <w:t xml:space="preserve"> būtu biju</w:t>
      </w:r>
      <w:r w:rsidR="00363005">
        <w:rPr>
          <w:lang w:val="lv-LV"/>
        </w:rPr>
        <w:t>si</w:t>
      </w:r>
      <w:r w:rsidRPr="003D6332">
        <w:rPr>
          <w:lang w:val="lv-LV"/>
        </w:rPr>
        <w:t xml:space="preserve"> pirms gadsimta. Tādēļ ir nepieciešams, lai politikas plānotāji izveido</w:t>
      </w:r>
      <w:r w:rsidR="00207ED9" w:rsidRPr="003D6332">
        <w:rPr>
          <w:lang w:val="lv-LV"/>
        </w:rPr>
        <w:t>tu sistēmas, kas vienlaikus spētu</w:t>
      </w:r>
      <w:r w:rsidRPr="003D6332">
        <w:rPr>
          <w:lang w:val="lv-LV"/>
        </w:rPr>
        <w:t xml:space="preserve">  reaģēt uz šīm pārmaiņām un ļautu sociālo pakalpojumu sniedzējiem sekmīgi nodrošināt to, lai personas ar invaliditāti varētu izmantot savas tiesības. Politikas plānotājiem ir jāizveido tiesiskais regulējums un politika, kas sekmētu un veicinātu pakalpojumu sniedzējiem iespējas īstenot šīs izmaiņas un kvalitātes prasības savas darbības ietvaros.</w:t>
      </w:r>
    </w:p>
    <w:p w:rsidR="00A67EED" w:rsidRPr="003D6332" w:rsidRDefault="00207ED9" w:rsidP="0000615F">
      <w:pPr>
        <w:spacing w:after="0"/>
        <w:rPr>
          <w:lang w:val="lv-LV"/>
        </w:rPr>
      </w:pPr>
      <w:r w:rsidRPr="003D6332">
        <w:rPr>
          <w:lang w:val="lv-LV"/>
        </w:rPr>
        <w:t xml:space="preserve">Tomēr, ne tikai politikas veidotāji var sekmēt šo pāreju. Un tā nav arī  vienīgi personu ar invaliditāti organizāciju atbildība. Tas ir arī pakalpojumu sniedzēju pienākums atbalstīt un iedrošināt politikas veidotājus šajā procesā, sniedzot norādījumus, zināšanas un konsultācijas par to, kā pārliecināties, šī pāreja ir veiksmīga un pilnībā iekļaujoša. Pakalpojumu sniedzējiem ir arī </w:t>
      </w:r>
      <w:r w:rsidR="00C34A5A" w:rsidRPr="003D6332">
        <w:rPr>
          <w:lang w:val="lv-LV"/>
        </w:rPr>
        <w:t>jārīkojas, lai pārliecināto</w:t>
      </w:r>
      <w:r w:rsidRPr="003D6332">
        <w:rPr>
          <w:lang w:val="lv-LV"/>
        </w:rPr>
        <w:t>s, ka tie ir "daļa no risinājuma, nevis problēma", ī</w:t>
      </w:r>
      <w:r w:rsidR="00C34A5A" w:rsidRPr="003D6332">
        <w:rPr>
          <w:lang w:val="lv-LV"/>
        </w:rPr>
        <w:t>stenojot ANO Konvenciju</w:t>
      </w:r>
      <w:r w:rsidRPr="003D6332">
        <w:rPr>
          <w:lang w:val="lv-LV"/>
        </w:rPr>
        <w:t xml:space="preserve"> par personu ar invaliditāti tiesībām.</w:t>
      </w:r>
      <w:r w:rsidR="00C34A5A" w:rsidRPr="003D6332">
        <w:rPr>
          <w:lang w:val="lv-LV"/>
        </w:rPr>
        <w:t xml:space="preserve"> </w:t>
      </w:r>
    </w:p>
    <w:p w:rsidR="00A67EED" w:rsidRPr="003D6332" w:rsidRDefault="00A67EED" w:rsidP="0000615F">
      <w:pPr>
        <w:pStyle w:val="Heading1"/>
        <w:rPr>
          <w:lang w:val="lv-LV"/>
        </w:rPr>
      </w:pPr>
      <w:bookmarkStart w:id="17" w:name="_Toc440291003"/>
      <w:r w:rsidRPr="003D6332">
        <w:rPr>
          <w:lang w:val="lv-LV"/>
        </w:rPr>
        <w:t xml:space="preserve">II.3 </w:t>
      </w:r>
      <w:bookmarkEnd w:id="17"/>
      <w:r w:rsidR="00C34A5A" w:rsidRPr="003D6332">
        <w:rPr>
          <w:lang w:val="lv-LV"/>
        </w:rPr>
        <w:t>Pašreizējā sociālo pakalpojumu situācija Eiropā</w:t>
      </w:r>
    </w:p>
    <w:p w:rsidR="00A67EED" w:rsidRDefault="00A67EED" w:rsidP="00D73219">
      <w:pPr>
        <w:pStyle w:val="Heading2"/>
        <w:rPr>
          <w:lang w:val="lv-LV"/>
        </w:rPr>
      </w:pPr>
      <w:bookmarkStart w:id="18" w:name="_Toc440291004"/>
      <w:r w:rsidRPr="003D6332">
        <w:rPr>
          <w:lang w:val="lv-LV"/>
        </w:rPr>
        <w:t xml:space="preserve">II.3.1 </w:t>
      </w:r>
      <w:bookmarkEnd w:id="18"/>
      <w:r w:rsidR="00C34A5A" w:rsidRPr="003D6332">
        <w:rPr>
          <w:lang w:val="lv-LV"/>
        </w:rPr>
        <w:t>Labklājības modeļu dažādība</w:t>
      </w:r>
    </w:p>
    <w:p w:rsidR="00363005" w:rsidRPr="00363005" w:rsidRDefault="00363005" w:rsidP="00363005">
      <w:pPr>
        <w:rPr>
          <w:lang w:val="lv-LV"/>
        </w:rPr>
      </w:pPr>
    </w:p>
    <w:p w:rsidR="00A67EED" w:rsidRPr="003D6332" w:rsidRDefault="00A67EED" w:rsidP="008F2603">
      <w:pPr>
        <w:rPr>
          <w:lang w:val="lv-LV"/>
        </w:rPr>
      </w:pPr>
      <w:r w:rsidRPr="003D6332">
        <w:rPr>
          <w:lang w:val="lv-LV"/>
        </w:rPr>
        <w:t>“</w:t>
      </w:r>
      <w:r w:rsidR="00C34A5A" w:rsidRPr="003D6332">
        <w:rPr>
          <w:i/>
          <w:lang w:val="lv-LV"/>
        </w:rPr>
        <w:t xml:space="preserve">Labklājība ir jēdziens, kas ir atkarīgs no kultūras atšķirībām. Kultūras atšķirības skaidro labklājības jēdzieniem dažādību Eiropas valstīs. Turklāt labklājību pati par sevi nav pat </w:t>
      </w:r>
      <w:r w:rsidR="00C34A5A" w:rsidRPr="003D6332">
        <w:rPr>
          <w:i/>
          <w:lang w:val="lv-LV"/>
        </w:rPr>
        <w:lastRenderedPageBreak/>
        <w:t>iespējams tulkot vairākās valodās: ja nav jēdzienu, nav vārdu! Un tur, kur tas ir tulkots,  nav skaidrs, ka nozīme ir viena un tāda pati</w:t>
      </w:r>
      <w:r w:rsidR="00C34A5A" w:rsidRPr="003D6332">
        <w:rPr>
          <w:lang w:val="lv-LV"/>
        </w:rPr>
        <w:t>.</w:t>
      </w:r>
      <w:r w:rsidRPr="003D6332">
        <w:rPr>
          <w:rStyle w:val="QuoteChar"/>
          <w:lang w:val="lv-LV"/>
        </w:rPr>
        <w:t>”</w:t>
      </w:r>
      <w:r w:rsidRPr="003D6332">
        <w:rPr>
          <w:lang w:val="lv-LV"/>
        </w:rPr>
        <w:t xml:space="preserve"> Robert Urbé </w:t>
      </w:r>
    </w:p>
    <w:p w:rsidR="00A67EED" w:rsidRPr="003D6332" w:rsidRDefault="00C34A5A" w:rsidP="0000615F">
      <w:pPr>
        <w:spacing w:after="0"/>
        <w:rPr>
          <w:lang w:val="lv-LV"/>
        </w:rPr>
      </w:pPr>
      <w:r w:rsidRPr="003D6332">
        <w:rPr>
          <w:lang w:val="lv-LV"/>
        </w:rPr>
        <w:t>Ņemot vērā vēsturisko daudzveidību Eiropā, tas nav pārsteidzoši, ka pastāv dažādas Eiropas labklājības sistēmas. Nesenā Caritas ziņojumā teikts, ka pastāv piecas plašas sociālās labklājības sistēmas Eiropā</w:t>
      </w:r>
      <w:r w:rsidR="00A67EED" w:rsidRPr="003D6332">
        <w:rPr>
          <w:lang w:val="lv-LV"/>
        </w:rPr>
        <w:t>:</w:t>
      </w:r>
    </w:p>
    <w:p w:rsidR="00A67EED" w:rsidRPr="003D6332" w:rsidRDefault="00047EA5" w:rsidP="00E213CA">
      <w:pPr>
        <w:pStyle w:val="ListParagraph"/>
        <w:numPr>
          <w:ilvl w:val="0"/>
          <w:numId w:val="26"/>
        </w:numPr>
        <w:rPr>
          <w:lang w:val="lv-LV"/>
        </w:rPr>
      </w:pPr>
      <w:r w:rsidRPr="003D6332">
        <w:rPr>
          <w:lang w:val="lv-LV"/>
        </w:rPr>
        <w:t>Liberālā</w:t>
      </w:r>
      <w:r w:rsidR="00C34A5A" w:rsidRPr="003D6332">
        <w:rPr>
          <w:lang w:val="lv-LV"/>
        </w:rPr>
        <w:t xml:space="preserve"> "Beveridge</w:t>
      </w:r>
      <w:r w:rsidRPr="003D6332">
        <w:rPr>
          <w:lang w:val="lv-LV"/>
        </w:rPr>
        <w:t>" sistēma, kurā dominē nabadzīga</w:t>
      </w:r>
      <w:r w:rsidR="00363005">
        <w:rPr>
          <w:lang w:val="lv-LV"/>
        </w:rPr>
        <w:t>s sociālās drošības sistēmas</w:t>
      </w:r>
      <w:r w:rsidR="00C34A5A" w:rsidRPr="003D6332">
        <w:rPr>
          <w:lang w:val="lv-LV"/>
        </w:rPr>
        <w:t xml:space="preserve"> un sociālie p</w:t>
      </w:r>
      <w:r w:rsidR="00CC51D7" w:rsidRPr="003D6332">
        <w:rPr>
          <w:lang w:val="lv-LV"/>
        </w:rPr>
        <w:t>abalsti</w:t>
      </w:r>
      <w:r w:rsidR="00C34A5A" w:rsidRPr="003D6332">
        <w:rPr>
          <w:lang w:val="lv-LV"/>
        </w:rPr>
        <w:t xml:space="preserve">. </w:t>
      </w:r>
      <w:r w:rsidR="00F26523" w:rsidRPr="003D6332">
        <w:rPr>
          <w:lang w:val="lv-LV"/>
        </w:rPr>
        <w:t xml:space="preserve">Vienkāršas </w:t>
      </w:r>
      <w:r w:rsidR="00C34A5A" w:rsidRPr="003D6332">
        <w:rPr>
          <w:lang w:val="lv-LV"/>
        </w:rPr>
        <w:t>apdrošināšana</w:t>
      </w:r>
      <w:r w:rsidR="00F26523" w:rsidRPr="003D6332">
        <w:rPr>
          <w:lang w:val="lv-LV"/>
        </w:rPr>
        <w:t>s</w:t>
      </w:r>
      <w:r w:rsidR="00C34A5A" w:rsidRPr="003D6332">
        <w:rPr>
          <w:lang w:val="lv-LV"/>
        </w:rPr>
        <w:t xml:space="preserve"> un valsts veselības aizsardzības sistēmas kopā ar bērnu pabalsti</w:t>
      </w:r>
      <w:r w:rsidR="00F26523" w:rsidRPr="003D6332">
        <w:rPr>
          <w:lang w:val="lv-LV"/>
        </w:rPr>
        <w:t>em</w:t>
      </w:r>
      <w:r w:rsidR="00C34A5A" w:rsidRPr="003D6332">
        <w:rPr>
          <w:lang w:val="lv-LV"/>
        </w:rPr>
        <w:t xml:space="preserve"> ir galvenās šo sistēmu</w:t>
      </w:r>
      <w:r w:rsidR="00F26523" w:rsidRPr="003D6332">
        <w:rPr>
          <w:lang w:val="lv-LV"/>
        </w:rPr>
        <w:t xml:space="preserve"> iezīmes</w:t>
      </w:r>
      <w:r w:rsidR="00C34A5A" w:rsidRPr="003D6332">
        <w:rPr>
          <w:lang w:val="lv-LV"/>
        </w:rPr>
        <w:t xml:space="preserve">. </w:t>
      </w:r>
      <w:r w:rsidR="00F26523" w:rsidRPr="003D6332">
        <w:rPr>
          <w:lang w:val="lv-LV"/>
        </w:rPr>
        <w:t>Tipiski piemēri ir Lielbritānija, Īrija, ASV, Kanāda un Austrālija</w:t>
      </w:r>
      <w:r w:rsidR="00C34A5A" w:rsidRPr="003D6332">
        <w:rPr>
          <w:lang w:val="lv-LV"/>
        </w:rPr>
        <w:t>.</w:t>
      </w:r>
    </w:p>
    <w:p w:rsidR="00F26523" w:rsidRPr="003D6332" w:rsidRDefault="00F26523" w:rsidP="00E213CA">
      <w:pPr>
        <w:pStyle w:val="ListParagraph"/>
        <w:numPr>
          <w:ilvl w:val="0"/>
          <w:numId w:val="26"/>
        </w:numPr>
        <w:rPr>
          <w:lang w:val="lv-LV"/>
        </w:rPr>
      </w:pPr>
      <w:r w:rsidRPr="003D6332">
        <w:rPr>
          <w:lang w:val="lv-LV"/>
        </w:rPr>
        <w:t>Konservatīvā "Bismarck" sistēma, kurā dominē tradicionālā ģimenes loma, apgādniek</w:t>
      </w:r>
      <w:r w:rsidR="00CC51D7" w:rsidRPr="003D6332">
        <w:rPr>
          <w:lang w:val="lv-LV"/>
        </w:rPr>
        <w:t>a</w:t>
      </w:r>
      <w:r w:rsidRPr="003D6332">
        <w:rPr>
          <w:lang w:val="lv-LV"/>
        </w:rPr>
        <w:t xml:space="preserve"> modelis, organizēta kā apdrošināšanas sistēma, sociālie </w:t>
      </w:r>
      <w:r w:rsidR="00CC51D7" w:rsidRPr="003D6332">
        <w:rPr>
          <w:lang w:val="lv-LV"/>
        </w:rPr>
        <w:t>pabalsti</w:t>
      </w:r>
      <w:r w:rsidRPr="003D6332">
        <w:rPr>
          <w:lang w:val="lv-LV"/>
        </w:rPr>
        <w:t xml:space="preserve"> balstās uz iemaksām, u</w:t>
      </w:r>
      <w:r w:rsidR="00CC51D7" w:rsidRPr="003D6332">
        <w:rPr>
          <w:lang w:val="lv-LV"/>
        </w:rPr>
        <w:t>.</w:t>
      </w:r>
      <w:r w:rsidRPr="003D6332">
        <w:rPr>
          <w:lang w:val="lv-LV"/>
        </w:rPr>
        <w:t xml:space="preserve">c </w:t>
      </w:r>
      <w:r w:rsidR="00CC51D7" w:rsidRPr="003D6332">
        <w:rPr>
          <w:lang w:val="lv-LV"/>
        </w:rPr>
        <w:t>.</w:t>
      </w:r>
      <w:r w:rsidRPr="003D6332">
        <w:rPr>
          <w:lang w:val="lv-LV"/>
        </w:rPr>
        <w:t>Tipiski pārstāvji ir Vācija, Beļģija, Austrija, Luksemburga un pat Francija.</w:t>
      </w:r>
    </w:p>
    <w:p w:rsidR="00CC51D7" w:rsidRPr="003D6332" w:rsidRDefault="00CC51D7" w:rsidP="00E213CA">
      <w:pPr>
        <w:pStyle w:val="ListParagraph"/>
        <w:numPr>
          <w:ilvl w:val="0"/>
          <w:numId w:val="26"/>
        </w:numPr>
        <w:rPr>
          <w:lang w:val="lv-LV"/>
        </w:rPr>
      </w:pPr>
      <w:r w:rsidRPr="003D6332">
        <w:rPr>
          <w:lang w:val="lv-LV"/>
        </w:rPr>
        <w:t>Sociāldemokrātiskā "Ziemeļu" sistēma, kura koncentrējas uz augstiem sociāliem pabalstiem un tās pamats ir universālisms, sociālās tiesības visiem un vienlīdzība. Šāda sistēma darbojas Zviedrijā, Dānijā, Norvēģijā un, daļēji, Somijā un Islandē.</w:t>
      </w:r>
    </w:p>
    <w:p w:rsidR="00CC51D7" w:rsidRPr="003D6332" w:rsidRDefault="00CC51D7" w:rsidP="00E213CA">
      <w:pPr>
        <w:pStyle w:val="ListParagraph"/>
        <w:numPr>
          <w:ilvl w:val="0"/>
          <w:numId w:val="26"/>
        </w:numPr>
        <w:rPr>
          <w:lang w:val="lv-LV"/>
        </w:rPr>
      </w:pPr>
      <w:r w:rsidRPr="003D6332">
        <w:rPr>
          <w:lang w:val="lv-LV"/>
        </w:rPr>
        <w:t>Vidusjūras modelis, diezgan tuvs Bismarck modelim ar mazāk izdevīgiem pabalstiem, un ar nevienlīdzīgi attīstītām sociālās apdrošināšanas jomām. Tas ietver Itāliju, Spāniju, Portugāli un Grieķiju.</w:t>
      </w:r>
    </w:p>
    <w:p w:rsidR="00CC51D7" w:rsidRPr="003D6332" w:rsidRDefault="00CC51D7" w:rsidP="00E213CA">
      <w:pPr>
        <w:pStyle w:val="ListParagraph"/>
        <w:numPr>
          <w:ilvl w:val="0"/>
          <w:numId w:val="26"/>
        </w:numPr>
        <w:rPr>
          <w:lang w:val="lv-LV"/>
        </w:rPr>
      </w:pPr>
      <w:r w:rsidRPr="003D6332">
        <w:rPr>
          <w:lang w:val="lv-LV"/>
        </w:rPr>
        <w:t>"Centrālās un Austrumeiropas" sistēma, tā  attiecas uz tām valstīm, kas krasi mainīja visu politisko un sociālo sistēmu pēc 1989.gada. To</w:t>
      </w:r>
      <w:r w:rsidR="002422E2" w:rsidRPr="003D6332">
        <w:rPr>
          <w:lang w:val="lv-LV"/>
        </w:rPr>
        <w:t xml:space="preserve"> vienīgais kopīgais aspekts</w:t>
      </w:r>
      <w:r w:rsidRPr="003D6332">
        <w:rPr>
          <w:lang w:val="lv-LV"/>
        </w:rPr>
        <w:t xml:space="preserve"> ir tas, ka viņi nav izvēlē</w:t>
      </w:r>
      <w:r w:rsidR="002422E2" w:rsidRPr="003D6332">
        <w:rPr>
          <w:lang w:val="lv-LV"/>
        </w:rPr>
        <w:t>jušies</w:t>
      </w:r>
      <w:r w:rsidRPr="003D6332">
        <w:rPr>
          <w:lang w:val="lv-LV"/>
        </w:rPr>
        <w:t xml:space="preserve"> vienu no esošajiem četriem modeļiem un</w:t>
      </w:r>
      <w:r w:rsidR="002422E2" w:rsidRPr="003D6332">
        <w:rPr>
          <w:lang w:val="lv-LV"/>
        </w:rPr>
        <w:t xml:space="preserve"> gala rezultātā ir izveidotas sistēmas, kuras ietver sastāvdaļas</w:t>
      </w:r>
      <w:r w:rsidRPr="003D6332">
        <w:rPr>
          <w:lang w:val="lv-LV"/>
        </w:rPr>
        <w:t xml:space="preserve"> </w:t>
      </w:r>
      <w:r w:rsidR="002422E2" w:rsidRPr="003D6332">
        <w:rPr>
          <w:lang w:val="lv-LV"/>
        </w:rPr>
        <w:t>no visām sistēmām. Šie modeļi joprojām vēl tiek izstrādāti</w:t>
      </w:r>
      <w:r w:rsidRPr="003D6332">
        <w:rPr>
          <w:lang w:val="lv-LV"/>
        </w:rPr>
        <w:t>.</w:t>
      </w:r>
    </w:p>
    <w:p w:rsidR="00A67EED" w:rsidRDefault="00A67EED" w:rsidP="00D73219">
      <w:pPr>
        <w:pStyle w:val="Heading2"/>
        <w:rPr>
          <w:lang w:val="lv-LV"/>
        </w:rPr>
      </w:pPr>
      <w:bookmarkStart w:id="19" w:name="_Toc440291005"/>
      <w:r w:rsidRPr="003D6332">
        <w:rPr>
          <w:lang w:val="lv-LV"/>
        </w:rPr>
        <w:t>II.</w:t>
      </w:r>
      <w:r w:rsidR="00CB52F7" w:rsidRPr="003D6332">
        <w:rPr>
          <w:lang w:val="lv-LV"/>
        </w:rPr>
        <w:t>3.2</w:t>
      </w:r>
      <w:r w:rsidRPr="003D6332">
        <w:rPr>
          <w:lang w:val="lv-LV"/>
        </w:rPr>
        <w:t xml:space="preserve"> </w:t>
      </w:r>
      <w:bookmarkEnd w:id="19"/>
      <w:r w:rsidR="002422E2" w:rsidRPr="003D6332">
        <w:rPr>
          <w:lang w:val="lv-LV"/>
        </w:rPr>
        <w:t>Dažādas sistēmas nenozīmē dažādas problēmas</w:t>
      </w:r>
    </w:p>
    <w:p w:rsidR="00363005" w:rsidRPr="00363005" w:rsidRDefault="00363005" w:rsidP="00363005">
      <w:pPr>
        <w:rPr>
          <w:lang w:val="lv-LV"/>
        </w:rPr>
      </w:pPr>
    </w:p>
    <w:p w:rsidR="00CB52F7" w:rsidRPr="003D6332" w:rsidRDefault="002422E2" w:rsidP="00CB52F7">
      <w:pPr>
        <w:rPr>
          <w:lang w:val="lv-LV"/>
        </w:rPr>
      </w:pPr>
      <w:r w:rsidRPr="003D6332">
        <w:rPr>
          <w:lang w:val="lv-LV"/>
        </w:rPr>
        <w:t xml:space="preserve">Ir svarīgi atzīmēt, ka pastāv acīmredzami nozīmīgas atšķirības starp sociāliem pakalpojumiem dažādās valstīs. </w:t>
      </w:r>
      <w:r w:rsidR="005730C0" w:rsidRPr="003D6332">
        <w:rPr>
          <w:lang w:val="lv-LV"/>
        </w:rPr>
        <w:t>T</w:t>
      </w:r>
      <w:r w:rsidR="003D6332">
        <w:rPr>
          <w:lang w:val="lv-LV"/>
        </w:rPr>
        <w:t>āpēc svarīgs ir jautā</w:t>
      </w:r>
      <w:r w:rsidR="005730C0" w:rsidRPr="003D6332">
        <w:rPr>
          <w:lang w:val="lv-LV"/>
        </w:rPr>
        <w:t>jums - v</w:t>
      </w:r>
      <w:r w:rsidRPr="003D6332">
        <w:rPr>
          <w:lang w:val="lv-LV"/>
        </w:rPr>
        <w:t>ai ir iespējams salīdzināt situāciju atbalsta pakalpojumos Spānijā ar situāciju Apvienotajā Karalistē? Vai ir iespējams salīdzināt Somiju un Rumāniju? Ja mēs raugāmies uz katras sistēmas attīstības līmeni, tad tas, protams, nav iespējams. Tomēr, ja mēs skatāmies, kādi jautājumi skar sociālo pakalpojumu sniedzējus katrā valstī, kopīgas problēmas parādās ātri. Tas</w:t>
      </w:r>
      <w:r w:rsidR="005730C0" w:rsidRPr="003D6332">
        <w:rPr>
          <w:lang w:val="lv-LV"/>
        </w:rPr>
        <w:t xml:space="preserve"> ir īpaši gadījumā, ja palūkojamies uz ANO Konvencijas īstenošanu  visā Eiropā. Neviena valsts nav</w:t>
      </w:r>
      <w:r w:rsidRPr="003D6332">
        <w:rPr>
          <w:lang w:val="lv-LV"/>
        </w:rPr>
        <w:t xml:space="preserve"> pilnībā </w:t>
      </w:r>
      <w:r w:rsidR="005730C0" w:rsidRPr="003D6332">
        <w:rPr>
          <w:lang w:val="lv-LV"/>
        </w:rPr>
        <w:t xml:space="preserve">to </w:t>
      </w:r>
      <w:r w:rsidRPr="003D6332">
        <w:rPr>
          <w:lang w:val="lv-LV"/>
        </w:rPr>
        <w:t>īstenojusi</w:t>
      </w:r>
      <w:r w:rsidR="005730C0" w:rsidRPr="003D6332">
        <w:rPr>
          <w:lang w:val="lv-LV"/>
        </w:rPr>
        <w:t xml:space="preserve"> un pat valstis ar visaugstāko attīstības līmeni pieliek daudz pūļu, lai veiktu izmaiņas </w:t>
      </w:r>
      <w:r w:rsidRPr="003D6332">
        <w:rPr>
          <w:lang w:val="lv-LV"/>
        </w:rPr>
        <w:t>svarīgās jomās.</w:t>
      </w:r>
      <w:r w:rsidR="00B632F8" w:rsidRPr="003D6332">
        <w:rPr>
          <w:lang w:val="lv-LV"/>
        </w:rPr>
        <w:t xml:space="preserve">  </w:t>
      </w:r>
    </w:p>
    <w:p w:rsidR="00CB52F7" w:rsidRPr="003D6332" w:rsidRDefault="005730C0" w:rsidP="00CB52F7">
      <w:pPr>
        <w:rPr>
          <w:lang w:val="lv-LV"/>
        </w:rPr>
      </w:pPr>
      <w:r w:rsidRPr="003D6332">
        <w:rPr>
          <w:lang w:val="lv-LV"/>
        </w:rPr>
        <w:lastRenderedPageBreak/>
        <w:t>ANO Konvencijas noslēguma apsvērumos attiecībā uz ES uzsver to precīzi, piemēram,  norādot, ka "visā Eiropā, cilvēki ar invaliditāti joprojām dzīvo iestādēs, nevis vietējās kopienās".  Uzsvars uz “visu Eiropu”un nevis “Eiropu” skaidri parāda, ka visās Eiropas dalībvalstīs joprojām ir cilvēki ar invaliditāti, kuri dzīvo segregētās institūcijās. Dažas valstīs, pat visaugstāk attīstītajās, mēdz būt re-institucionalizācijas gadījumi, ja ir bijis veiksmīgs deinstitucionalizāacijas process, bet pēdējos gados tas ir apturēts vai pat atcelts. Kā aizbildinājums var tikt izmantota atsauce uz 2008 gada krīzi.</w:t>
      </w:r>
      <w:r w:rsidR="00CB52F7" w:rsidRPr="003D6332">
        <w:rPr>
          <w:lang w:val="lv-LV"/>
        </w:rPr>
        <w:t xml:space="preserve"> </w:t>
      </w:r>
    </w:p>
    <w:p w:rsidR="00CB52F7" w:rsidRPr="003D6332" w:rsidRDefault="005730C0" w:rsidP="00CB52F7">
      <w:pPr>
        <w:rPr>
          <w:lang w:val="lv-LV"/>
        </w:rPr>
      </w:pPr>
      <w:r w:rsidRPr="003D6332">
        <w:rPr>
          <w:lang w:val="lv-LV"/>
        </w:rPr>
        <w:t xml:space="preserve">Līdzīgi argumenti var tikt izmantoti attiecībā uz iekļaujošās izglītības sistēmu attīsību </w:t>
      </w:r>
      <w:r w:rsidR="00456E06" w:rsidRPr="003D6332">
        <w:rPr>
          <w:lang w:val="lv-LV"/>
        </w:rPr>
        <w:t xml:space="preserve"> </w:t>
      </w:r>
      <w:r w:rsidRPr="003D6332">
        <w:rPr>
          <w:lang w:val="lv-LV"/>
        </w:rPr>
        <w:t xml:space="preserve">un iekļaujošu darba </w:t>
      </w:r>
      <w:r w:rsidR="00456E06" w:rsidRPr="003D6332">
        <w:rPr>
          <w:lang w:val="lv-LV"/>
        </w:rPr>
        <w:t>tirgu. Tas skaidri parāda</w:t>
      </w:r>
      <w:r w:rsidRPr="003D6332">
        <w:rPr>
          <w:lang w:val="lv-LV"/>
        </w:rPr>
        <w:t>, ka galvenais šķērslis īstenojot</w:t>
      </w:r>
      <w:r w:rsidR="00456E06" w:rsidRPr="003D6332">
        <w:rPr>
          <w:lang w:val="lv-LV"/>
        </w:rPr>
        <w:t xml:space="preserve"> ANO konvenciju ir ne tikai saistībā ar </w:t>
      </w:r>
      <w:r w:rsidRPr="003D6332">
        <w:rPr>
          <w:lang w:val="lv-LV"/>
        </w:rPr>
        <w:t>ekonomisko attīstību vai sociālo pakalpojumu sistēmu</w:t>
      </w:r>
      <w:r w:rsidR="00456E06" w:rsidRPr="003D6332">
        <w:rPr>
          <w:lang w:val="lv-LV"/>
        </w:rPr>
        <w:t xml:space="preserve"> attīstības līmeni</w:t>
      </w:r>
      <w:r w:rsidRPr="003D6332">
        <w:rPr>
          <w:lang w:val="lv-LV"/>
        </w:rPr>
        <w:t>,</w:t>
      </w:r>
      <w:r w:rsidR="00456E06" w:rsidRPr="003D6332">
        <w:rPr>
          <w:lang w:val="lv-LV"/>
        </w:rPr>
        <w:t xml:space="preserve"> bet, ka </w:t>
      </w:r>
      <w:r w:rsidRPr="003D6332">
        <w:rPr>
          <w:lang w:val="lv-LV"/>
        </w:rPr>
        <w:t xml:space="preserve"> tas ir pirmkārt un galvenokārt par politisko gribu un apņemšanos.</w:t>
      </w:r>
    </w:p>
    <w:p w:rsidR="00A67EED" w:rsidRPr="003D6332" w:rsidRDefault="00456E06" w:rsidP="00CB52F7">
      <w:pPr>
        <w:spacing w:before="240"/>
        <w:rPr>
          <w:lang w:val="lv-LV"/>
        </w:rPr>
      </w:pPr>
      <w:r w:rsidRPr="003D6332">
        <w:rPr>
          <w:lang w:val="lv-LV"/>
        </w:rPr>
        <w:t>Pkalpojumu sniedzējiem (papildus cilvēku ar invaliditāti organizācijām un citām ieinteresētajām pusēm), ir svarīga loma, lai pārliecinātu politikas veidotājus par sociālo pakalpojumu sistēmu attīstības nozīmi, kas pozitīvi veicinātu ANO Konvencijas īstenošanu.</w:t>
      </w:r>
    </w:p>
    <w:p w:rsidR="00CB52F7" w:rsidRDefault="00CB52F7" w:rsidP="00D73219">
      <w:pPr>
        <w:pStyle w:val="Heading2"/>
        <w:rPr>
          <w:lang w:val="lv-LV"/>
        </w:rPr>
      </w:pPr>
      <w:bookmarkStart w:id="20" w:name="_Toc440291006"/>
      <w:r w:rsidRPr="003D6332">
        <w:rPr>
          <w:lang w:val="lv-LV"/>
        </w:rPr>
        <w:t>III.3.</w:t>
      </w:r>
      <w:r w:rsidR="00B86D69" w:rsidRPr="003D6332">
        <w:rPr>
          <w:lang w:val="lv-LV"/>
        </w:rPr>
        <w:t>3</w:t>
      </w:r>
      <w:r w:rsidRPr="003D6332">
        <w:rPr>
          <w:lang w:val="lv-LV"/>
        </w:rPr>
        <w:t xml:space="preserve"> </w:t>
      </w:r>
      <w:bookmarkEnd w:id="20"/>
      <w:r w:rsidR="00456E06" w:rsidRPr="003D6332">
        <w:rPr>
          <w:lang w:val="lv-LV"/>
        </w:rPr>
        <w:t>Kopējie izaicinājumi sociālajiem pakalpojumiem Eiropā</w:t>
      </w:r>
    </w:p>
    <w:p w:rsidR="00363005" w:rsidRPr="00363005" w:rsidRDefault="00363005" w:rsidP="00363005">
      <w:pPr>
        <w:rPr>
          <w:lang w:val="lv-LV"/>
        </w:rPr>
      </w:pPr>
    </w:p>
    <w:p w:rsidR="00CB52F7" w:rsidRPr="003D6332" w:rsidRDefault="00456E06" w:rsidP="00CB52F7">
      <w:pPr>
        <w:rPr>
          <w:lang w:val="lv-LV"/>
        </w:rPr>
      </w:pPr>
      <w:r w:rsidRPr="003D6332">
        <w:rPr>
          <w:lang w:val="lv-LV"/>
        </w:rPr>
        <w:t>Papildus jautājumiem saistībā ar 19., 24. un 27. pantu, ir daudzas citas problēmas, kas ietekmē sociālos pakalpojumus visā Eiropā.</w:t>
      </w:r>
    </w:p>
    <w:p w:rsidR="00CB52F7" w:rsidRPr="003D6332" w:rsidRDefault="00456E06" w:rsidP="00CB52F7">
      <w:pPr>
        <w:spacing w:before="240"/>
        <w:rPr>
          <w:lang w:val="lv-LV"/>
        </w:rPr>
      </w:pPr>
      <w:r w:rsidRPr="003D6332">
        <w:rPr>
          <w:lang w:val="lv-LV"/>
        </w:rPr>
        <w:t xml:space="preserve">Lielākais jautājums, kas skar sociālo pakalpojumu sniedzējus visā Eiropā ir nepietiekama nozares atzīšana no politikas veidotāju puses un līdz ar to nepietiekams finansējums nozarē. </w:t>
      </w:r>
      <w:r w:rsidR="00C33C32" w:rsidRPr="003D6332">
        <w:rPr>
          <w:lang w:val="lv-LV"/>
        </w:rPr>
        <w:t xml:space="preserve">Lai gan ir dažādu līmeņu finansējums, kā arī dažādi finansējuma modeļi, ir skaidrs, ka ir nepietiekams ilgtspējīgs publiskais finansējums sociālo pakalpojumu nozarē visās Eiropas valstīs. Situāciju, protams, ir pasliktinājis finansējuma samazinājums kopš 2008. gada izdevumiem sociālās aprūpes / atbalsta pakalpojumiem. </w:t>
      </w:r>
    </w:p>
    <w:p w:rsidR="00CB52F7" w:rsidRPr="003D6332" w:rsidRDefault="00C33C32" w:rsidP="00CB52F7">
      <w:pPr>
        <w:spacing w:before="240"/>
        <w:rPr>
          <w:lang w:val="lv-LV"/>
        </w:rPr>
      </w:pPr>
      <w:r w:rsidRPr="003D6332">
        <w:rPr>
          <w:lang w:val="lv-LV"/>
        </w:rPr>
        <w:lastRenderedPageBreak/>
        <w:t>Sakarā ar demogrāfiskajām pārmaiņām, nevienlīdzības pieaugumu un finansējuma samazinājumu publiskiem izdevumiem sociālās aprūpes / atbalsta pakalpojumiem, ir vērojams gaidīšanas laika pieaugums, lai saņemtu  kvalitatīvus pakalpojumus; tā rezultātā:</w:t>
      </w:r>
    </w:p>
    <w:p w:rsidR="00CB52F7" w:rsidRPr="003D6332" w:rsidRDefault="00C33C32" w:rsidP="00E213CA">
      <w:pPr>
        <w:pStyle w:val="ListParagraph"/>
        <w:numPr>
          <w:ilvl w:val="0"/>
          <w:numId w:val="27"/>
        </w:numPr>
        <w:rPr>
          <w:lang w:val="lv-LV"/>
        </w:rPr>
      </w:pPr>
      <w:r w:rsidRPr="003D6332">
        <w:rPr>
          <w:lang w:val="lv-LV"/>
        </w:rPr>
        <w:t>Pazeminās pakalpojumu kvalitāte</w:t>
      </w:r>
      <w:r w:rsidR="00CB52F7" w:rsidRPr="003D6332">
        <w:rPr>
          <w:lang w:val="lv-LV"/>
        </w:rPr>
        <w:t>;</w:t>
      </w:r>
    </w:p>
    <w:p w:rsidR="00C33C32" w:rsidRPr="003D6332" w:rsidRDefault="00C33C32" w:rsidP="00664311">
      <w:pPr>
        <w:pStyle w:val="ListParagraph"/>
        <w:numPr>
          <w:ilvl w:val="0"/>
          <w:numId w:val="27"/>
        </w:numPr>
        <w:rPr>
          <w:lang w:val="lv-LV"/>
        </w:rPr>
      </w:pPr>
      <w:r w:rsidRPr="003D6332">
        <w:rPr>
          <w:lang w:val="lv-LV"/>
        </w:rPr>
        <w:t xml:space="preserve">Tas noved pie turpmākas (re) institucionalizācijas; </w:t>
      </w:r>
    </w:p>
    <w:p w:rsidR="00C33C32" w:rsidRPr="003D6332" w:rsidRDefault="00495CE9" w:rsidP="00C33C32">
      <w:pPr>
        <w:pStyle w:val="ListParagraph"/>
        <w:numPr>
          <w:ilvl w:val="0"/>
          <w:numId w:val="27"/>
        </w:numPr>
        <w:rPr>
          <w:lang w:val="lv-LV"/>
        </w:rPr>
      </w:pPr>
      <w:r w:rsidRPr="003D6332">
        <w:rPr>
          <w:lang w:val="lv-LV"/>
        </w:rPr>
        <w:t>Uzliek</w:t>
      </w:r>
      <w:r w:rsidR="00C33C32" w:rsidRPr="003D6332">
        <w:rPr>
          <w:lang w:val="lv-LV"/>
        </w:rPr>
        <w:t xml:space="preserve"> papildu</w:t>
      </w:r>
      <w:r w:rsidRPr="003D6332">
        <w:rPr>
          <w:lang w:val="lv-LV"/>
        </w:rPr>
        <w:t>s</w:t>
      </w:r>
      <w:r w:rsidR="00C33C32" w:rsidRPr="003D6332">
        <w:rPr>
          <w:lang w:val="lv-LV"/>
        </w:rPr>
        <w:t xml:space="preserve"> spiedienu uz </w:t>
      </w:r>
      <w:r w:rsidRPr="003D6332">
        <w:rPr>
          <w:lang w:val="lv-LV"/>
        </w:rPr>
        <w:t>personu ar invaliditāti apkārtējo sociālo tīklu (ģimenēm uc)</w:t>
      </w:r>
      <w:r w:rsidR="00C33C32" w:rsidRPr="003D6332">
        <w:rPr>
          <w:lang w:val="lv-LV"/>
        </w:rPr>
        <w:t>; iespē</w:t>
      </w:r>
      <w:r w:rsidRPr="003D6332">
        <w:rPr>
          <w:lang w:val="lv-LV"/>
        </w:rPr>
        <w:t>jams, vēl vairāk palielinot</w:t>
      </w:r>
      <w:r w:rsidR="00C33C32" w:rsidRPr="003D6332">
        <w:rPr>
          <w:lang w:val="lv-LV"/>
        </w:rPr>
        <w:t xml:space="preserve"> izslēgšanu no darba tirgus (jo īpaši sievietēm); u</w:t>
      </w:r>
      <w:r w:rsidRPr="003D6332">
        <w:rPr>
          <w:lang w:val="lv-LV"/>
        </w:rPr>
        <w:t>.</w:t>
      </w:r>
      <w:r w:rsidR="00C33C32" w:rsidRPr="003D6332">
        <w:rPr>
          <w:lang w:val="lv-LV"/>
        </w:rPr>
        <w:t>c</w:t>
      </w:r>
      <w:r w:rsidRPr="003D6332">
        <w:rPr>
          <w:lang w:val="lv-LV"/>
        </w:rPr>
        <w:t>.</w:t>
      </w:r>
    </w:p>
    <w:p w:rsidR="00CB52F7" w:rsidRPr="003D6332" w:rsidRDefault="00D50A3A" w:rsidP="00CB52F7">
      <w:pPr>
        <w:rPr>
          <w:lang w:val="lv-LV"/>
        </w:rPr>
      </w:pPr>
      <w:r w:rsidRPr="003D6332">
        <w:rPr>
          <w:lang w:val="lv-LV"/>
        </w:rPr>
        <w:t>Bez tam dienvidu, rietumu un ziemeļu Eiropā ir arī būtiski jautājumi, kas saistīti ar nozīmīgu personāla trūkumu. Darbinieku pieņemšana un noturēšana  darbā šajā nozarē joprojām ir svarīga problēma daudziem pakalpojumu sniedzējiem; galvenokārt tāpēc, ka nozarei trūkst pievilcības (alga zem vidējā līmeņa, darba apstākļi un apmācības iespējas). Tā kā daudzas darbavietas sociālajā sektorā pašlaik  tiek aizpildītas ar speciālistiem, kuru izcelsme ir no Centrāleiropas un Austrumeiropas, var rasties jautājums, kā šī smadzeņu aizplūšana ietekmēs augstas kvalitātes pakalpojumu attīstību Centrālajā un Austrumeiropā.</w:t>
      </w:r>
      <w:r w:rsidR="00CB52F7" w:rsidRPr="003D6332">
        <w:rPr>
          <w:lang w:val="lv-LV"/>
        </w:rPr>
        <w:t xml:space="preserve"> </w:t>
      </w:r>
      <w:r w:rsidRPr="003D6332">
        <w:rPr>
          <w:lang w:val="lv-LV"/>
        </w:rPr>
        <w:t xml:space="preserve">Līdztekus finansējuma trūkumam nozarē, šis apstāklis ir arī radījis nelegālas nodarbinātības pieaugumu sociālās aprūpes / atbalsta jomā. Citi jautājumi, kas ietekmē darbinieku pieņemšanu un noturēšanu darbā ietver dzimumu nelīdzsvarotību </w:t>
      </w:r>
      <w:r w:rsidR="00812CB7" w:rsidRPr="003D6332">
        <w:rPr>
          <w:lang w:val="lv-LV"/>
        </w:rPr>
        <w:t xml:space="preserve">starp </w:t>
      </w:r>
      <w:r w:rsidRPr="003D6332">
        <w:rPr>
          <w:lang w:val="lv-LV"/>
        </w:rPr>
        <w:t xml:space="preserve">speciālistiem, kas strādā šajā nozarē (vidēji 80% darbinieku ir sievietes) un darbaspēka novecošana (lielākā daļa strādājošo ir vecāki par 40 gadiem). </w:t>
      </w:r>
    </w:p>
    <w:p w:rsidR="00CB52F7" w:rsidRPr="003D6332" w:rsidRDefault="00812CB7" w:rsidP="00B86D69">
      <w:pPr>
        <w:rPr>
          <w:lang w:val="lv-LV"/>
        </w:rPr>
      </w:pPr>
      <w:r w:rsidRPr="003D6332">
        <w:rPr>
          <w:lang w:val="lv-LV"/>
        </w:rPr>
        <w:t>Visā Eiropā, lielākā daļa sociālās aprūpes / atbalsta sektora profesionāļu nav pietiekami izglītoti, lai attīstītu uz cilvēktiesībām balstītus pakalpojumus; un jo īpaši uz ANO Konvenciju balstītus pakalpojumus. Lai sociālo pakalpojumu sniedzēji un nozares profesionāļi kļūtu par pārmaiņu veicinātājiem, daudz vairāk jādara, lai nodrošinātu, ka cilvēktiesību perspektīva ir labi saprotamas visiem profesionāļiem, kas strādā šajā nozarē.</w:t>
      </w:r>
    </w:p>
    <w:p w:rsidR="00CB52F7" w:rsidRPr="003D6332" w:rsidRDefault="00CB52F7" w:rsidP="0000615F">
      <w:pPr>
        <w:pStyle w:val="Heading1"/>
        <w:rPr>
          <w:lang w:val="lv-LV"/>
        </w:rPr>
      </w:pPr>
      <w:bookmarkStart w:id="21" w:name="_Toc440291007"/>
      <w:r w:rsidRPr="003D6332">
        <w:rPr>
          <w:lang w:val="lv-LV"/>
        </w:rPr>
        <w:t xml:space="preserve">II.4 </w:t>
      </w:r>
      <w:bookmarkEnd w:id="21"/>
      <w:r w:rsidR="00812CB7" w:rsidRPr="003D6332">
        <w:rPr>
          <w:lang w:val="lv-LV"/>
        </w:rPr>
        <w:t>Eiropas risinājumi Eiropas problēmām</w:t>
      </w:r>
    </w:p>
    <w:p w:rsidR="00CB52F7" w:rsidRPr="003D6332" w:rsidRDefault="00CB52F7" w:rsidP="00D73219">
      <w:pPr>
        <w:pStyle w:val="Heading2"/>
        <w:rPr>
          <w:lang w:val="lv-LV"/>
        </w:rPr>
      </w:pPr>
      <w:bookmarkStart w:id="22" w:name="_Toc440291008"/>
      <w:r w:rsidRPr="003D6332">
        <w:rPr>
          <w:lang w:val="lv-LV"/>
        </w:rPr>
        <w:t xml:space="preserve">II.4.1 </w:t>
      </w:r>
      <w:r w:rsidR="00812CB7" w:rsidRPr="003D6332">
        <w:rPr>
          <w:lang w:val="lv-LV"/>
        </w:rPr>
        <w:t xml:space="preserve">Eiropas Padomes sniegtie risinājumi </w:t>
      </w:r>
      <w:bookmarkEnd w:id="22"/>
    </w:p>
    <w:p w:rsidR="00CB52F7" w:rsidRPr="003D6332" w:rsidRDefault="00812CB7" w:rsidP="00CB52F7">
      <w:pPr>
        <w:rPr>
          <w:lang w:val="lv-LV"/>
        </w:rPr>
      </w:pPr>
      <w:r w:rsidRPr="003D6332">
        <w:rPr>
          <w:lang w:val="lv-LV"/>
        </w:rPr>
        <w:t xml:space="preserve">Eiropas Padome aptver 47 dalībvalstis, un tai ir kompetences cilvēktiesību jomā; jo īpaši saistībā ar Eiropas Cilvēktiesību tiesu. </w:t>
      </w:r>
      <w:r w:rsidR="00751745" w:rsidRPr="003D6332">
        <w:rPr>
          <w:lang w:val="lv-LV"/>
        </w:rPr>
        <w:t>Tā ietver arī " E</w:t>
      </w:r>
      <w:r w:rsidRPr="003D6332">
        <w:rPr>
          <w:lang w:val="lv-LV"/>
        </w:rPr>
        <w:t xml:space="preserve">kspertu komiteju par cilvēku ar </w:t>
      </w:r>
      <w:r w:rsidRPr="003D6332">
        <w:rPr>
          <w:lang w:val="lv-LV"/>
        </w:rPr>
        <w:lastRenderedPageBreak/>
        <w:t xml:space="preserve">invaliditāti tiesībām", kuras mērķis ir palīdzēt dalībvalstīm </w:t>
      </w:r>
      <w:r w:rsidR="00751745" w:rsidRPr="003D6332">
        <w:rPr>
          <w:lang w:val="lv-LV"/>
        </w:rPr>
        <w:t>veikt Eiropas Padomes rīcības plāna invaliditātes jomā popularizēšanu, īstenošanu, paveiktā darba kontroli</w:t>
      </w:r>
      <w:r w:rsidRPr="003D6332">
        <w:rPr>
          <w:lang w:val="lv-LV"/>
        </w:rPr>
        <w:t xml:space="preserve"> un novērtēša</w:t>
      </w:r>
      <w:r w:rsidR="00751745" w:rsidRPr="003D6332">
        <w:rPr>
          <w:lang w:val="lv-LV"/>
        </w:rPr>
        <w:t>nu</w:t>
      </w:r>
      <w:r w:rsidRPr="003D6332">
        <w:rPr>
          <w:lang w:val="lv-LV"/>
        </w:rPr>
        <w:t>.</w:t>
      </w:r>
    </w:p>
    <w:p w:rsidR="00CB52F7" w:rsidRPr="003D6332" w:rsidRDefault="00751745" w:rsidP="00CB52F7">
      <w:pPr>
        <w:rPr>
          <w:lang w:val="lv-LV"/>
        </w:rPr>
      </w:pPr>
      <w:r w:rsidRPr="003D6332">
        <w:rPr>
          <w:lang w:val="lv-LV"/>
        </w:rPr>
        <w:t>Eiropas Padomes rīcības plāna invaliditātes jomā mērķis ir palīdzēt dalībvalstīm pastiprināt diskriminācijas novēršanas un cilvēktiesību pasākumus nacionālā līmenī. Tas nodrošina arī elastīgu ietvaru politisko lēmumu pieņēmējiem, lai iegūtu individualizētu plānu inovatīvu</w:t>
      </w:r>
      <w:r w:rsidR="0052109D" w:rsidRPr="003D6332">
        <w:rPr>
          <w:lang w:val="lv-LV"/>
        </w:rPr>
        <w:t xml:space="preserve"> </w:t>
      </w:r>
      <w:r w:rsidRPr="003D6332">
        <w:rPr>
          <w:lang w:val="lv-LV"/>
        </w:rPr>
        <w:t>tiesību aktu</w:t>
      </w:r>
      <w:r w:rsidR="0052109D" w:rsidRPr="003D6332">
        <w:rPr>
          <w:lang w:val="lv-LV"/>
        </w:rPr>
        <w:t xml:space="preserve">, politikas un prakses invaliditātes jomā izstrādei un ieviešanai: satur 15 rīcības virzienus (skatīt </w:t>
      </w:r>
      <w:r w:rsidRPr="003D6332">
        <w:rPr>
          <w:lang w:val="lv-LV"/>
        </w:rPr>
        <w:t>sīkāku informāciju</w:t>
      </w:r>
      <w:r w:rsidR="0052109D" w:rsidRPr="003D6332">
        <w:rPr>
          <w:lang w:val="lv-LV"/>
        </w:rPr>
        <w:t>1. modulī</w:t>
      </w:r>
      <w:r w:rsidRPr="003D6332">
        <w:rPr>
          <w:lang w:val="lv-LV"/>
        </w:rPr>
        <w:t>).</w:t>
      </w:r>
    </w:p>
    <w:p w:rsidR="00CB52F7" w:rsidRDefault="00CB52F7" w:rsidP="00D73219">
      <w:pPr>
        <w:pStyle w:val="Heading2"/>
        <w:rPr>
          <w:lang w:val="lv-LV"/>
        </w:rPr>
      </w:pPr>
      <w:bookmarkStart w:id="23" w:name="_Toc440291009"/>
      <w:r w:rsidRPr="003D6332">
        <w:rPr>
          <w:lang w:val="lv-LV"/>
        </w:rPr>
        <w:t xml:space="preserve">II.4.2 </w:t>
      </w:r>
      <w:r w:rsidR="00B02316" w:rsidRPr="003D6332">
        <w:rPr>
          <w:lang w:val="lv-LV"/>
        </w:rPr>
        <w:t>R</w:t>
      </w:r>
      <w:r w:rsidR="0052109D" w:rsidRPr="003D6332">
        <w:rPr>
          <w:lang w:val="lv-LV"/>
        </w:rPr>
        <w:t xml:space="preserve">isinājumi Eiropas Savienības līmenī </w:t>
      </w:r>
      <w:bookmarkEnd w:id="23"/>
    </w:p>
    <w:p w:rsidR="00363005" w:rsidRPr="00363005" w:rsidRDefault="00363005" w:rsidP="00363005">
      <w:pPr>
        <w:rPr>
          <w:lang w:val="lv-LV"/>
        </w:rPr>
      </w:pPr>
    </w:p>
    <w:p w:rsidR="00CB52F7" w:rsidRPr="003D6332" w:rsidRDefault="0052109D" w:rsidP="008F2603">
      <w:pPr>
        <w:rPr>
          <w:lang w:val="lv-LV"/>
        </w:rPr>
      </w:pPr>
      <w:r w:rsidRPr="003D6332">
        <w:rPr>
          <w:lang w:val="lv-LV"/>
        </w:rPr>
        <w:t>Eiropas Savien</w:t>
      </w:r>
      <w:r w:rsidR="00B02316" w:rsidRPr="003D6332">
        <w:rPr>
          <w:lang w:val="lv-LV"/>
        </w:rPr>
        <w:t>ība un Eiropas Padome ir pilnībā</w:t>
      </w:r>
      <w:r w:rsidRPr="003D6332">
        <w:rPr>
          <w:lang w:val="lv-LV"/>
        </w:rPr>
        <w:t xml:space="preserve"> nošķirtas organizācijas. Eiropas Savienība apvieno 28 dalībvalstis, un tai ir kompetences plašā politikas jomu diapazonā. Politiskā ziņā, tai ir daudz vairāk iespēju sasniegt un ietekmēt  nacionālo politiku, nekā Eiropas Padomei. Turpmākā sadaļā ir uzskaitītas dažas no politiskajām Eiropas līmeņa nostādnēm, kas ietekmē sociālo pakalpojumu sniegšanu Ei</w:t>
      </w:r>
      <w:r w:rsidR="00F461A3" w:rsidRPr="003D6332">
        <w:rPr>
          <w:lang w:val="lv-LV"/>
        </w:rPr>
        <w:t>ropā. Šis ir nepilnīgs saraksts un</w:t>
      </w:r>
      <w:r w:rsidRPr="003D6332">
        <w:rPr>
          <w:lang w:val="lv-LV"/>
        </w:rPr>
        <w:t xml:space="preserve"> apvieno</w:t>
      </w:r>
      <w:r w:rsidR="00F461A3" w:rsidRPr="003D6332">
        <w:rPr>
          <w:lang w:val="lv-LV"/>
        </w:rPr>
        <w:t xml:space="preserve"> galvenās pēdējo gadu politikas izstrādnes</w:t>
      </w:r>
      <w:r w:rsidRPr="003D6332">
        <w:rPr>
          <w:lang w:val="lv-LV"/>
        </w:rPr>
        <w:t>.</w:t>
      </w:r>
    </w:p>
    <w:p w:rsidR="00CB52F7" w:rsidRPr="003D6332" w:rsidRDefault="00F461A3" w:rsidP="00B86D69">
      <w:pPr>
        <w:spacing w:after="0"/>
        <w:rPr>
          <w:b/>
          <w:lang w:val="lv-LV"/>
        </w:rPr>
      </w:pPr>
      <w:r w:rsidRPr="003D6332">
        <w:rPr>
          <w:b/>
          <w:lang w:val="lv-LV"/>
        </w:rPr>
        <w:t xml:space="preserve">Specifiski ar invalidtātes jautājumiem saistīti politikas dokumenti </w:t>
      </w:r>
    </w:p>
    <w:p w:rsidR="00CB52F7" w:rsidRPr="003D6332" w:rsidRDefault="00F461A3" w:rsidP="008F2603">
      <w:pPr>
        <w:rPr>
          <w:lang w:val="lv-LV"/>
        </w:rPr>
      </w:pPr>
      <w:r w:rsidRPr="003D6332">
        <w:rPr>
          <w:lang w:val="lv-LV"/>
        </w:rPr>
        <w:t>Līguma par Eiropas Savienības darbību 10. pantā teikts, ka "nosakot un īstenojot savu politiku un darbības, Savienība tiecas apkarot diskrimināciju dzimuma, rases vai etniskās izcelsmes, reliģijas vai pārliecības, invaliditātes, vecuma un seksuālās orientācijas ".</w:t>
      </w:r>
    </w:p>
    <w:p w:rsidR="00CB52F7" w:rsidRPr="003D6332" w:rsidRDefault="00B02316" w:rsidP="008F2603">
      <w:pPr>
        <w:rPr>
          <w:lang w:val="lv-LV"/>
        </w:rPr>
      </w:pPr>
      <w:r w:rsidRPr="003D6332">
        <w:rPr>
          <w:lang w:val="lv-LV"/>
        </w:rPr>
        <w:t xml:space="preserve">Kā </w:t>
      </w:r>
      <w:r w:rsidR="00691560" w:rsidRPr="003D6332">
        <w:rPr>
          <w:lang w:val="lv-LV"/>
        </w:rPr>
        <w:t xml:space="preserve">skaidrots </w:t>
      </w:r>
      <w:r w:rsidRPr="003D6332">
        <w:rPr>
          <w:lang w:val="lv-LV"/>
        </w:rPr>
        <w:t>1. modulī</w:t>
      </w:r>
      <w:r w:rsidR="00691560" w:rsidRPr="003D6332">
        <w:rPr>
          <w:lang w:val="lv-LV"/>
        </w:rPr>
        <w:t xml:space="preserve">, Eiropas Savienība </w:t>
      </w:r>
      <w:r w:rsidRPr="003D6332">
        <w:rPr>
          <w:lang w:val="lv-LV"/>
        </w:rPr>
        <w:t xml:space="preserve">2010. gadā ratificējusi ANO Konvenciju par personu ar invaliditāti, un līdz ar to izstrādājusi </w:t>
      </w:r>
      <w:r w:rsidR="00691560" w:rsidRPr="003D6332">
        <w:rPr>
          <w:lang w:val="lv-LV"/>
        </w:rPr>
        <w:t xml:space="preserve"> Eiropas stratēģiju invaliditātes jomā</w:t>
      </w:r>
      <w:r w:rsidRPr="003D6332">
        <w:rPr>
          <w:lang w:val="lv-LV"/>
        </w:rPr>
        <w:t>, kura satur 8 punktus</w:t>
      </w:r>
      <w:r w:rsidR="00691560" w:rsidRPr="003D6332">
        <w:rPr>
          <w:lang w:val="lv-LV"/>
        </w:rPr>
        <w:t>.</w:t>
      </w:r>
    </w:p>
    <w:p w:rsidR="00CB52F7" w:rsidRPr="003D6332" w:rsidRDefault="00124723" w:rsidP="0000615F">
      <w:pPr>
        <w:spacing w:after="0"/>
        <w:rPr>
          <w:lang w:val="lv-LV"/>
        </w:rPr>
      </w:pPr>
      <w:r w:rsidRPr="003D6332">
        <w:rPr>
          <w:lang w:val="lv-LV"/>
        </w:rPr>
        <w:t>Runājot par specifiskām darbībām</w:t>
      </w:r>
      <w:r w:rsidR="00406DA3" w:rsidRPr="003D6332">
        <w:rPr>
          <w:lang w:val="lv-LV"/>
        </w:rPr>
        <w:t>, kas saitītas ar invaliditātes jautājumiem</w:t>
      </w:r>
      <w:r w:rsidRPr="003D6332">
        <w:rPr>
          <w:lang w:val="lv-LV"/>
        </w:rPr>
        <w:t>, ES ir veikusi pasākumus šādās jomās:</w:t>
      </w:r>
    </w:p>
    <w:p w:rsidR="00CB52F7" w:rsidRPr="003D6332" w:rsidRDefault="00406DA3" w:rsidP="00E213CA">
      <w:pPr>
        <w:pStyle w:val="ListParagraph"/>
        <w:numPr>
          <w:ilvl w:val="0"/>
          <w:numId w:val="30"/>
        </w:numPr>
        <w:rPr>
          <w:lang w:val="lv-LV"/>
        </w:rPr>
      </w:pPr>
      <w:r w:rsidRPr="003D6332">
        <w:rPr>
          <w:lang w:val="lv-LV"/>
        </w:rPr>
        <w:t>N</w:t>
      </w:r>
      <w:r w:rsidR="005C4B55" w:rsidRPr="003D6332">
        <w:rPr>
          <w:lang w:val="lv-LV"/>
        </w:rPr>
        <w:t xml:space="preserve">odarbinātības vienlīdzības </w:t>
      </w:r>
      <w:r w:rsidRPr="003D6332">
        <w:rPr>
          <w:lang w:val="lv-LV"/>
        </w:rPr>
        <w:t>direktīva (Employment Equality Framework Directive), kuras mērķis ir apkarot diskrimināciju darba vietā uz invaliditātes, seksuālās orientācijas, reliģijas vai ticības un vecumu pamata.</w:t>
      </w:r>
    </w:p>
    <w:p w:rsidR="00691560" w:rsidRPr="003D6332" w:rsidRDefault="00406DA3" w:rsidP="00124723">
      <w:pPr>
        <w:pStyle w:val="ListParagraph"/>
        <w:numPr>
          <w:ilvl w:val="0"/>
          <w:numId w:val="30"/>
        </w:numPr>
        <w:rPr>
          <w:lang w:val="lv-LV"/>
        </w:rPr>
      </w:pPr>
      <w:r w:rsidRPr="003D6332">
        <w:rPr>
          <w:lang w:val="lv-LV"/>
        </w:rPr>
        <w:lastRenderedPageBreak/>
        <w:t>Eiropas Pieejamības akts</w:t>
      </w:r>
      <w:r w:rsidR="00691560" w:rsidRPr="003D6332">
        <w:rPr>
          <w:lang w:val="lv-LV"/>
        </w:rPr>
        <w:t xml:space="preserve">, kura mērķis ir atvieglot uzņēmumiem </w:t>
      </w:r>
      <w:r w:rsidRPr="003D6332">
        <w:rPr>
          <w:lang w:val="lv-LV"/>
        </w:rPr>
        <w:t xml:space="preserve">iespēju </w:t>
      </w:r>
      <w:r w:rsidR="00691560" w:rsidRPr="003D6332">
        <w:rPr>
          <w:lang w:val="lv-LV"/>
        </w:rPr>
        <w:t>nodrošināt pieejamus produktus u</w:t>
      </w:r>
      <w:r w:rsidRPr="003D6332">
        <w:rPr>
          <w:lang w:val="lv-LV"/>
        </w:rPr>
        <w:t>n pakalpojumus</w:t>
      </w:r>
      <w:r w:rsidR="00691560" w:rsidRPr="003D6332">
        <w:rPr>
          <w:lang w:val="lv-LV"/>
        </w:rPr>
        <w:t xml:space="preserve"> visiem </w:t>
      </w:r>
      <w:r w:rsidRPr="003D6332">
        <w:rPr>
          <w:lang w:val="lv-LV"/>
        </w:rPr>
        <w:t>iedzīvotājiem ar pārrobežu pieeju, jo īpaši personām</w:t>
      </w:r>
      <w:r w:rsidR="00691560" w:rsidRPr="003D6332">
        <w:rPr>
          <w:lang w:val="lv-LV"/>
        </w:rPr>
        <w:t xml:space="preserve"> ar invaliditāti.</w:t>
      </w:r>
    </w:p>
    <w:p w:rsidR="00691560" w:rsidRPr="003D6332" w:rsidRDefault="00691560" w:rsidP="008F2603">
      <w:pPr>
        <w:rPr>
          <w:lang w:val="lv-LV"/>
        </w:rPr>
      </w:pPr>
      <w:r w:rsidRPr="003D6332">
        <w:rPr>
          <w:lang w:val="lv-LV"/>
        </w:rPr>
        <w:t xml:space="preserve">Eiropas Savienība ir </w:t>
      </w:r>
      <w:r w:rsidR="00406DA3" w:rsidRPr="003D6332">
        <w:rPr>
          <w:lang w:val="lv-LV"/>
        </w:rPr>
        <w:t xml:space="preserve">daudzus gadus </w:t>
      </w:r>
      <w:r w:rsidRPr="003D6332">
        <w:rPr>
          <w:lang w:val="lv-LV"/>
        </w:rPr>
        <w:t>centusies vienoties par diskriminā</w:t>
      </w:r>
      <w:r w:rsidR="00406DA3" w:rsidRPr="003D6332">
        <w:rPr>
          <w:lang w:val="lv-LV"/>
        </w:rPr>
        <w:t>cijas novēršanas direktīvu, kuras mērķis būtu</w:t>
      </w:r>
      <w:r w:rsidRPr="003D6332">
        <w:rPr>
          <w:lang w:val="lv-LV"/>
        </w:rPr>
        <w:t xml:space="preserve"> cīnīties pret diskrimināciju iepriekš minēta</w:t>
      </w:r>
      <w:r w:rsidR="00406DA3" w:rsidRPr="003D6332">
        <w:rPr>
          <w:lang w:val="lv-LV"/>
        </w:rPr>
        <w:t>jās jomās visās dzīves jomās. To pašlaik bloķē dalībvalstis</w:t>
      </w:r>
      <w:r w:rsidRPr="003D6332">
        <w:rPr>
          <w:lang w:val="lv-LV"/>
        </w:rPr>
        <w:t xml:space="preserve"> Eiropas Savienības </w:t>
      </w:r>
      <w:r w:rsidR="00406DA3" w:rsidRPr="003D6332">
        <w:rPr>
          <w:lang w:val="lv-LV"/>
        </w:rPr>
        <w:t xml:space="preserve">Padomē </w:t>
      </w:r>
      <w:r w:rsidRPr="003D6332">
        <w:rPr>
          <w:lang w:val="lv-LV"/>
        </w:rPr>
        <w:t>(nejaukt ar Eiropas Padomi). Tomēr Eiropas Komisija ir paudusi gat</w:t>
      </w:r>
      <w:r w:rsidR="00406DA3" w:rsidRPr="003D6332">
        <w:rPr>
          <w:lang w:val="lv-LV"/>
        </w:rPr>
        <w:t>avību nodot savu priekšlikumu caur Padomi</w:t>
      </w:r>
      <w:r w:rsidRPr="003D6332">
        <w:rPr>
          <w:lang w:val="lv-LV"/>
        </w:rPr>
        <w:t xml:space="preserve"> 2016</w:t>
      </w:r>
      <w:r w:rsidR="00406DA3" w:rsidRPr="003D6332">
        <w:rPr>
          <w:lang w:val="lv-LV"/>
        </w:rPr>
        <w:t xml:space="preserve"> gadā</w:t>
      </w:r>
      <w:r w:rsidRPr="003D6332">
        <w:rPr>
          <w:lang w:val="lv-LV"/>
        </w:rPr>
        <w:t>.</w:t>
      </w:r>
    </w:p>
    <w:p w:rsidR="00CB52F7" w:rsidRPr="003D6332" w:rsidRDefault="00406DA3" w:rsidP="00B86D69">
      <w:pPr>
        <w:spacing w:after="0"/>
        <w:rPr>
          <w:b/>
          <w:lang w:val="lv-LV"/>
        </w:rPr>
      </w:pPr>
      <w:r w:rsidRPr="003D6332">
        <w:rPr>
          <w:b/>
          <w:lang w:val="lv-LV"/>
        </w:rPr>
        <w:t xml:space="preserve">Vispārējās pieejamības sociālie pakalpojumi </w:t>
      </w:r>
      <w:r w:rsidR="006940C9" w:rsidRPr="003D6332">
        <w:rPr>
          <w:b/>
          <w:lang w:val="lv-LV"/>
        </w:rPr>
        <w:t xml:space="preserve"> </w:t>
      </w:r>
    </w:p>
    <w:p w:rsidR="00691560" w:rsidRPr="003D6332" w:rsidRDefault="006940C9" w:rsidP="008F2603">
      <w:pPr>
        <w:rPr>
          <w:lang w:val="lv-LV"/>
        </w:rPr>
      </w:pPr>
      <w:r w:rsidRPr="003D6332">
        <w:rPr>
          <w:lang w:val="lv-LV"/>
        </w:rPr>
        <w:t>Papildus specifikai uz invaliditātes jautājumiem vērstai politikai, ES veic</w:t>
      </w:r>
      <w:r w:rsidR="00691560" w:rsidRPr="003D6332">
        <w:rPr>
          <w:lang w:val="lv-LV"/>
        </w:rPr>
        <w:t xml:space="preserve"> lielu darbu, lai attīstītu </w:t>
      </w:r>
      <w:r w:rsidRPr="003D6332">
        <w:rPr>
          <w:lang w:val="lv-LV"/>
        </w:rPr>
        <w:t xml:space="preserve">sociālo pakalpojumu </w:t>
      </w:r>
      <w:r w:rsidR="00691560" w:rsidRPr="003D6332">
        <w:rPr>
          <w:lang w:val="lv-LV"/>
        </w:rPr>
        <w:t>ti</w:t>
      </w:r>
      <w:r w:rsidRPr="003D6332">
        <w:rPr>
          <w:lang w:val="lv-LV"/>
        </w:rPr>
        <w:t>esisko regulējumu</w:t>
      </w:r>
      <w:r w:rsidR="00691560" w:rsidRPr="003D6332">
        <w:rPr>
          <w:lang w:val="lv-LV"/>
        </w:rPr>
        <w:t>. Tā kā sociālie pakalpoju</w:t>
      </w:r>
      <w:r w:rsidRPr="003D6332">
        <w:rPr>
          <w:lang w:val="lv-LV"/>
        </w:rPr>
        <w:t xml:space="preserve">mi ir izslēgti no "Pakalpojumu direktīvas" , kuras mērķis ir Eiropas iekšējā tirgus liberalizācija, darbības jomām, </w:t>
      </w:r>
      <w:r w:rsidR="00691560" w:rsidRPr="003D6332">
        <w:rPr>
          <w:lang w:val="lv-LV"/>
        </w:rPr>
        <w:t xml:space="preserve">Eiropas Komisija </w:t>
      </w:r>
      <w:r w:rsidRPr="003D6332">
        <w:rPr>
          <w:lang w:val="lv-LV"/>
        </w:rPr>
        <w:t xml:space="preserve">2006. gada aprīlī </w:t>
      </w:r>
      <w:r w:rsidR="00691560" w:rsidRPr="003D6332">
        <w:rPr>
          <w:lang w:val="lv-LV"/>
        </w:rPr>
        <w:t>publicēja paziņojumu par "</w:t>
      </w:r>
      <w:r w:rsidRPr="003D6332">
        <w:rPr>
          <w:lang w:val="lv-LV"/>
        </w:rPr>
        <w:t>V</w:t>
      </w:r>
      <w:r w:rsidR="00691560" w:rsidRPr="003D6332">
        <w:rPr>
          <w:lang w:val="lv-LV"/>
        </w:rPr>
        <w:t xml:space="preserve">ispārējas nozīmes </w:t>
      </w:r>
      <w:r w:rsidRPr="003D6332">
        <w:rPr>
          <w:lang w:val="lv-LV"/>
        </w:rPr>
        <w:t xml:space="preserve">sociāliem </w:t>
      </w:r>
      <w:r w:rsidR="00691560" w:rsidRPr="003D6332">
        <w:rPr>
          <w:lang w:val="lv-LV"/>
        </w:rPr>
        <w:t>pakalpojumiem" (VNSP).</w:t>
      </w:r>
    </w:p>
    <w:p w:rsidR="00CB52F7" w:rsidRPr="003D6332" w:rsidRDefault="006940C9" w:rsidP="008F2603">
      <w:pPr>
        <w:rPr>
          <w:lang w:val="lv-LV"/>
        </w:rPr>
      </w:pPr>
      <w:r w:rsidRPr="003D6332">
        <w:rPr>
          <w:lang w:val="lv-LV"/>
        </w:rPr>
        <w:t>Eiropa Savienība ietekmē vispārējās nozīmes  sociālo pakalpojumu sektoru trīs galvenajās jomās</w:t>
      </w:r>
      <w:r w:rsidR="00CB52F7" w:rsidRPr="003D6332">
        <w:rPr>
          <w:lang w:val="lv-LV"/>
        </w:rPr>
        <w:t xml:space="preserve">: </w:t>
      </w:r>
    </w:p>
    <w:p w:rsidR="00CB52F7" w:rsidRPr="003D6332" w:rsidRDefault="006940C9" w:rsidP="00E213CA">
      <w:pPr>
        <w:pStyle w:val="ListParagraph"/>
        <w:numPr>
          <w:ilvl w:val="0"/>
          <w:numId w:val="32"/>
        </w:numPr>
        <w:rPr>
          <w:lang w:val="lv-LV"/>
        </w:rPr>
      </w:pPr>
      <w:r w:rsidRPr="003D6332">
        <w:rPr>
          <w:lang w:val="lv-LV"/>
        </w:rPr>
        <w:t xml:space="preserve">Nodarbinātība un darba apstākļi </w:t>
      </w:r>
    </w:p>
    <w:p w:rsidR="0043236F" w:rsidRPr="003D6332" w:rsidRDefault="00340DB1" w:rsidP="0043236F">
      <w:pPr>
        <w:rPr>
          <w:lang w:val="lv-LV"/>
        </w:rPr>
      </w:pPr>
      <w:r w:rsidRPr="003D6332">
        <w:rPr>
          <w:lang w:val="lv-LV"/>
        </w:rPr>
        <w:t xml:space="preserve">Daudzas </w:t>
      </w:r>
      <w:r w:rsidR="006940C9" w:rsidRPr="003D6332">
        <w:rPr>
          <w:lang w:val="lv-LV"/>
        </w:rPr>
        <w:t xml:space="preserve">Eiropas </w:t>
      </w:r>
      <w:r w:rsidR="006915FB" w:rsidRPr="003D6332">
        <w:rPr>
          <w:lang w:val="lv-LV"/>
        </w:rPr>
        <w:t xml:space="preserve"> </w:t>
      </w:r>
      <w:r w:rsidRPr="003D6332">
        <w:rPr>
          <w:lang w:val="lv-LV"/>
        </w:rPr>
        <w:t>pol</w:t>
      </w:r>
      <w:r w:rsidR="002D046E" w:rsidRPr="003D6332">
        <w:rPr>
          <w:lang w:val="lv-LV"/>
        </w:rPr>
        <w:t>itikas un darbības atbalsta</w:t>
      </w:r>
      <w:r w:rsidRPr="003D6332">
        <w:rPr>
          <w:lang w:val="lv-LV"/>
        </w:rPr>
        <w:t xml:space="preserve"> apgalvojumu</w:t>
      </w:r>
      <w:r w:rsidR="006940C9" w:rsidRPr="003D6332">
        <w:rPr>
          <w:lang w:val="lv-LV"/>
        </w:rPr>
        <w:t xml:space="preserve">, ka </w:t>
      </w:r>
      <w:r w:rsidRPr="003D6332">
        <w:rPr>
          <w:lang w:val="lv-LV"/>
        </w:rPr>
        <w:t xml:space="preserve">vispārējās nozīmes sociālo pakalpojumu nozarē </w:t>
      </w:r>
      <w:r w:rsidR="006940C9" w:rsidRPr="003D6332">
        <w:rPr>
          <w:lang w:val="lv-LV"/>
        </w:rPr>
        <w:t>pastāv ievērojams darbavietu</w:t>
      </w:r>
      <w:r w:rsidRPr="003D6332">
        <w:rPr>
          <w:lang w:val="lv-LV"/>
        </w:rPr>
        <w:t xml:space="preserve"> radīšanas potenciāls</w:t>
      </w:r>
      <w:r w:rsidR="006940C9" w:rsidRPr="003D6332">
        <w:rPr>
          <w:lang w:val="lv-LV"/>
        </w:rPr>
        <w:t xml:space="preserve">. </w:t>
      </w:r>
      <w:r w:rsidRPr="003D6332">
        <w:rPr>
          <w:lang w:val="lv-LV"/>
        </w:rPr>
        <w:t>Tās ie</w:t>
      </w:r>
      <w:r w:rsidR="002D046E" w:rsidRPr="003D6332">
        <w:rPr>
          <w:lang w:val="lv-LV"/>
        </w:rPr>
        <w:t xml:space="preserve">tver arī EK 2012. gada </w:t>
      </w:r>
      <w:r w:rsidRPr="003D6332">
        <w:rPr>
          <w:lang w:val="lv-LV"/>
        </w:rPr>
        <w:t>darba dokumentu par "</w:t>
      </w:r>
      <w:r w:rsidR="002D046E" w:rsidRPr="003D6332">
        <w:rPr>
          <w:lang w:val="lv-LV"/>
        </w:rPr>
        <w:t xml:space="preserve">personīgo un ar mājokli saistīto pakalpojumu </w:t>
      </w:r>
      <w:r w:rsidRPr="003D6332">
        <w:rPr>
          <w:lang w:val="lv-LV"/>
        </w:rPr>
        <w:t>nodarbinātības pot</w:t>
      </w:r>
      <w:r w:rsidR="002D046E" w:rsidRPr="003D6332">
        <w:rPr>
          <w:lang w:val="lv-LV"/>
        </w:rPr>
        <w:t>enciāla izmantošanu</w:t>
      </w:r>
      <w:r w:rsidRPr="003D6332">
        <w:rPr>
          <w:lang w:val="lv-LV"/>
        </w:rPr>
        <w:t xml:space="preserve"> ", kā arī </w:t>
      </w:r>
      <w:r w:rsidR="002D046E" w:rsidRPr="003D6332">
        <w:rPr>
          <w:lang w:val="lv-LV"/>
        </w:rPr>
        <w:t xml:space="preserve"> 2013.gada </w:t>
      </w:r>
      <w:r w:rsidRPr="003D6332">
        <w:rPr>
          <w:lang w:val="lv-LV"/>
        </w:rPr>
        <w:t>soci</w:t>
      </w:r>
      <w:r w:rsidR="002D046E" w:rsidRPr="003D6332">
        <w:rPr>
          <w:lang w:val="lv-LV"/>
        </w:rPr>
        <w:t>ālo ieguldījumu paketi</w:t>
      </w:r>
      <w:r w:rsidRPr="003D6332">
        <w:rPr>
          <w:lang w:val="lv-LV"/>
        </w:rPr>
        <w:t>, aicinot</w:t>
      </w:r>
      <w:r w:rsidR="002D046E" w:rsidRPr="003D6332">
        <w:rPr>
          <w:lang w:val="lv-LV"/>
        </w:rPr>
        <w:t xml:space="preserve"> saskatīt  sociālos izdevumus</w:t>
      </w:r>
      <w:r w:rsidRPr="003D6332">
        <w:rPr>
          <w:lang w:val="lv-LV"/>
        </w:rPr>
        <w:t xml:space="preserve"> kā vidēja termiņa un ilgtermiņa ieguldījumu, nevis kā izmaksas. </w:t>
      </w:r>
      <w:r w:rsidR="002D046E" w:rsidRPr="003D6332">
        <w:rPr>
          <w:lang w:val="lv-LV"/>
        </w:rPr>
        <w:t xml:space="preserve">Tomēr ietvars Eiropas līmenī vēl nav pilnībā izstrādāts, lai </w:t>
      </w:r>
      <w:r w:rsidR="0043236F" w:rsidRPr="003D6332">
        <w:rPr>
          <w:lang w:val="lv-LV"/>
        </w:rPr>
        <w:t xml:space="preserve">nozarē </w:t>
      </w:r>
      <w:r w:rsidR="002D046E" w:rsidRPr="003D6332">
        <w:rPr>
          <w:lang w:val="lv-LV"/>
        </w:rPr>
        <w:t xml:space="preserve">atraisītu darbavietu radīšanas potenciālu. </w:t>
      </w:r>
      <w:r w:rsidR="0043236F" w:rsidRPr="003D6332">
        <w:rPr>
          <w:lang w:val="lv-LV"/>
        </w:rPr>
        <w:t xml:space="preserve">Eiropas Parlamenta un Eiropas padomes direktīva par konkrētiem darba laika organizēšanas aspektiem prasa, lai ES valstīm nodrošināt, ka darba ņēmēju darba laiks atbilst visā ES piemērotajiem minimālajiem standartiem. Eiropas sociālais dialogs ir vēl viens instruments, kura mērķis ir uzlabot darba apstākļus darba ņēmējiem Eiropā. Pašlaik notiek process, lai nodrošinātu, ka sociālo pakalpojumu darba devēji tiek </w:t>
      </w:r>
      <w:r w:rsidR="0043236F" w:rsidRPr="003D6332">
        <w:rPr>
          <w:lang w:val="lv-LV"/>
        </w:rPr>
        <w:lastRenderedPageBreak/>
        <w:t>pārstāvēti Eiropas līmenī</w:t>
      </w:r>
      <w:r w:rsidR="008E0B85" w:rsidRPr="003D6332">
        <w:rPr>
          <w:lang w:val="lv-LV"/>
        </w:rPr>
        <w:t xml:space="preserve">. Tas ļautu </w:t>
      </w:r>
      <w:r w:rsidR="0043236F" w:rsidRPr="003D6332">
        <w:rPr>
          <w:lang w:val="lv-LV"/>
        </w:rPr>
        <w:t>Eiropas mērogā apspriest  kopējā</w:t>
      </w:r>
      <w:r w:rsidR="008E0B85" w:rsidRPr="003D6332">
        <w:rPr>
          <w:lang w:val="lv-LV"/>
        </w:rPr>
        <w:t>s</w:t>
      </w:r>
      <w:r w:rsidR="0043236F" w:rsidRPr="003D6332">
        <w:rPr>
          <w:lang w:val="lv-LV"/>
        </w:rPr>
        <w:t xml:space="preserve"> nostāj</w:t>
      </w:r>
      <w:r w:rsidR="008E0B85" w:rsidRPr="003D6332">
        <w:rPr>
          <w:lang w:val="lv-LV"/>
        </w:rPr>
        <w:t>as</w:t>
      </w:r>
      <w:r w:rsidR="0043236F" w:rsidRPr="003D6332">
        <w:rPr>
          <w:lang w:val="lv-LV"/>
        </w:rPr>
        <w:t xml:space="preserve"> ar pārstāvjiem no </w:t>
      </w:r>
      <w:r w:rsidR="00631137" w:rsidRPr="003D6332">
        <w:rPr>
          <w:lang w:val="lv-LV"/>
        </w:rPr>
        <w:t xml:space="preserve">sociālo pakalpojumu jomas </w:t>
      </w:r>
      <w:r w:rsidR="0043236F" w:rsidRPr="003D6332">
        <w:rPr>
          <w:lang w:val="lv-LV"/>
        </w:rPr>
        <w:t>arodbiedrībām.</w:t>
      </w:r>
    </w:p>
    <w:p w:rsidR="00CB52F7" w:rsidRPr="003D6332" w:rsidRDefault="00631137" w:rsidP="00E213CA">
      <w:pPr>
        <w:pStyle w:val="ListParagraph"/>
        <w:numPr>
          <w:ilvl w:val="0"/>
          <w:numId w:val="33"/>
        </w:numPr>
        <w:rPr>
          <w:lang w:val="lv-LV"/>
        </w:rPr>
      </w:pPr>
      <w:r w:rsidRPr="003D6332">
        <w:rPr>
          <w:lang w:val="lv-LV"/>
        </w:rPr>
        <w:t xml:space="preserve"> Publiskais iepirkums un valsts atbalsta noteikumi</w:t>
      </w:r>
    </w:p>
    <w:p w:rsidR="00691560" w:rsidRPr="003D6332" w:rsidRDefault="00691560" w:rsidP="008F2603">
      <w:pPr>
        <w:rPr>
          <w:lang w:val="lv-LV"/>
        </w:rPr>
      </w:pPr>
      <w:r w:rsidRPr="003D6332">
        <w:rPr>
          <w:lang w:val="lv-LV"/>
        </w:rPr>
        <w:t xml:space="preserve">Eiropas Savienība nosaka tiesisko </w:t>
      </w:r>
      <w:r w:rsidR="00631137" w:rsidRPr="003D6332">
        <w:rPr>
          <w:lang w:val="lv-LV"/>
        </w:rPr>
        <w:t>regulējumu attiecībā uz publiskiem iepirkumiem</w:t>
      </w:r>
      <w:r w:rsidRPr="003D6332">
        <w:rPr>
          <w:lang w:val="lv-LV"/>
        </w:rPr>
        <w:t xml:space="preserve"> un valsts atbalsta noteikumus, lai nodrošinātu </w:t>
      </w:r>
      <w:r w:rsidR="00631137" w:rsidRPr="003D6332">
        <w:rPr>
          <w:lang w:val="lv-LV"/>
        </w:rPr>
        <w:t>valsts un pašvaldību iestādes, uzņēmumus</w:t>
      </w:r>
      <w:r w:rsidRPr="003D6332">
        <w:rPr>
          <w:lang w:val="lv-LV"/>
        </w:rPr>
        <w:t xml:space="preserve"> </w:t>
      </w:r>
      <w:r w:rsidR="00631137" w:rsidRPr="003D6332">
        <w:rPr>
          <w:lang w:val="lv-LV"/>
        </w:rPr>
        <w:t>un NVO ar skaidriem, ilgtspējīgiem</w:t>
      </w:r>
      <w:r w:rsidRPr="003D6332">
        <w:rPr>
          <w:lang w:val="lv-LV"/>
        </w:rPr>
        <w:t xml:space="preserve"> un </w:t>
      </w:r>
      <w:r w:rsidR="00631137" w:rsidRPr="003D6332">
        <w:rPr>
          <w:lang w:val="lv-LV"/>
        </w:rPr>
        <w:t>mūsdienīgiem</w:t>
      </w:r>
      <w:r w:rsidRPr="003D6332">
        <w:rPr>
          <w:lang w:val="lv-LV"/>
        </w:rPr>
        <w:t xml:space="preserve"> noteikum</w:t>
      </w:r>
      <w:r w:rsidR="00631137" w:rsidRPr="003D6332">
        <w:rPr>
          <w:lang w:val="lv-LV"/>
        </w:rPr>
        <w:t>iem</w:t>
      </w:r>
      <w:r w:rsidRPr="003D6332">
        <w:rPr>
          <w:lang w:val="lv-LV"/>
        </w:rPr>
        <w:t xml:space="preserve"> un </w:t>
      </w:r>
      <w:r w:rsidR="00631137" w:rsidRPr="003D6332">
        <w:rPr>
          <w:lang w:val="lv-LV"/>
        </w:rPr>
        <w:t>saistībām</w:t>
      </w:r>
      <w:r w:rsidRPr="003D6332">
        <w:rPr>
          <w:lang w:val="lv-LV"/>
        </w:rPr>
        <w:t>. 2011. gada decembrī Eiropas Komisija sagatavoja paziņojumu par vispārējas nozīmes pakalpojum</w:t>
      </w:r>
      <w:r w:rsidR="00631137" w:rsidRPr="003D6332">
        <w:rPr>
          <w:lang w:val="lv-LV"/>
        </w:rPr>
        <w:t>u</w:t>
      </w:r>
      <w:r w:rsidRPr="003D6332">
        <w:rPr>
          <w:lang w:val="lv-LV"/>
        </w:rPr>
        <w:t xml:space="preserve"> </w:t>
      </w:r>
      <w:r w:rsidR="00631137" w:rsidRPr="003D6332">
        <w:rPr>
          <w:lang w:val="lv-LV"/>
        </w:rPr>
        <w:t xml:space="preserve">kvalitātes sistēmu </w:t>
      </w:r>
      <w:r w:rsidRPr="003D6332">
        <w:rPr>
          <w:lang w:val="lv-LV"/>
        </w:rPr>
        <w:t>Eiropā.</w:t>
      </w:r>
      <w:r w:rsidR="00631137" w:rsidRPr="003D6332">
        <w:rPr>
          <w:lang w:val="lv-LV"/>
        </w:rPr>
        <w:t xml:space="preserve"> </w:t>
      </w:r>
      <w:r w:rsidR="00515F21" w:rsidRPr="003D6332">
        <w:rPr>
          <w:lang w:val="lv-LV"/>
        </w:rPr>
        <w:t>Pēc šīs publikācijs Eiropas Savienība vienojās par</w:t>
      </w:r>
      <w:r w:rsidRPr="003D6332">
        <w:rPr>
          <w:lang w:val="lv-LV"/>
        </w:rPr>
        <w:t xml:space="preserve"> jauna</w:t>
      </w:r>
      <w:r w:rsidR="00515F21" w:rsidRPr="003D6332">
        <w:rPr>
          <w:lang w:val="lv-LV"/>
        </w:rPr>
        <w:t>s</w:t>
      </w:r>
      <w:r w:rsidRPr="003D6332">
        <w:rPr>
          <w:lang w:val="lv-LV"/>
        </w:rPr>
        <w:t xml:space="preserve"> Publiskā iepirkuma direktīvas</w:t>
      </w:r>
      <w:r w:rsidR="00515F21" w:rsidRPr="003D6332">
        <w:rPr>
          <w:lang w:val="lv-LV"/>
        </w:rPr>
        <w:t xml:space="preserve"> izstrādi</w:t>
      </w:r>
      <w:r w:rsidRPr="003D6332">
        <w:rPr>
          <w:lang w:val="lv-LV"/>
        </w:rPr>
        <w:t xml:space="preserve">, ar ko modernizēja ES publiskā iepirkuma noteikumus un </w:t>
      </w:r>
      <w:r w:rsidR="00515F21" w:rsidRPr="003D6332">
        <w:rPr>
          <w:lang w:val="lv-LV"/>
        </w:rPr>
        <w:t>vairāk koncentrējā</w:t>
      </w:r>
      <w:r w:rsidRPr="003D6332">
        <w:rPr>
          <w:lang w:val="lv-LV"/>
        </w:rPr>
        <w:t xml:space="preserve">s uz "ekonomiski visizdevīgāko piedāvājumu", nevis tikai lētāko piedāvājumu. ES vienojās </w:t>
      </w:r>
      <w:r w:rsidR="00515F21" w:rsidRPr="003D6332">
        <w:rPr>
          <w:lang w:val="lv-LV"/>
        </w:rPr>
        <w:t>arī par jaun</w:t>
      </w:r>
      <w:r w:rsidRPr="003D6332">
        <w:rPr>
          <w:lang w:val="lv-LV"/>
        </w:rPr>
        <w:t>iem</w:t>
      </w:r>
      <w:r w:rsidR="00515F21" w:rsidRPr="003D6332">
        <w:rPr>
          <w:lang w:val="lv-LV"/>
        </w:rPr>
        <w:t xml:space="preserve"> valsts atbalsta noteikumiem</w:t>
      </w:r>
      <w:r w:rsidRPr="003D6332">
        <w:rPr>
          <w:lang w:val="lv-LV"/>
        </w:rPr>
        <w:t>, lai uzņēmumi un organizācijas, nekropļo</w:t>
      </w:r>
      <w:r w:rsidR="00515F21" w:rsidRPr="003D6332">
        <w:rPr>
          <w:lang w:val="lv-LV"/>
        </w:rPr>
        <w:t>tu</w:t>
      </w:r>
      <w:r w:rsidRPr="003D6332">
        <w:rPr>
          <w:lang w:val="lv-LV"/>
        </w:rPr>
        <w:t xml:space="preserve"> konkurenci. Abi jaunie dokumenti ir būtiski, </w:t>
      </w:r>
      <w:r w:rsidR="00515F21" w:rsidRPr="003D6332">
        <w:rPr>
          <w:lang w:val="lv-LV"/>
        </w:rPr>
        <w:t>veidojot pareizu</w:t>
      </w:r>
      <w:r w:rsidRPr="003D6332">
        <w:rPr>
          <w:lang w:val="lv-LV"/>
        </w:rPr>
        <w:t xml:space="preserve"> vidi sociālo pakalpojumu sniedzējiem, lai veiksmīgi </w:t>
      </w:r>
      <w:r w:rsidR="00515F21" w:rsidRPr="003D6332">
        <w:rPr>
          <w:lang w:val="lv-LV"/>
        </w:rPr>
        <w:t>īstenotu</w:t>
      </w:r>
      <w:r w:rsidRPr="003D6332">
        <w:rPr>
          <w:lang w:val="lv-LV"/>
        </w:rPr>
        <w:t xml:space="preserve"> savus </w:t>
      </w:r>
      <w:r w:rsidR="00515F21" w:rsidRPr="003D6332">
        <w:rPr>
          <w:lang w:val="lv-LV"/>
        </w:rPr>
        <w:t>pasākumus</w:t>
      </w:r>
      <w:r w:rsidRPr="003D6332">
        <w:rPr>
          <w:lang w:val="lv-LV"/>
        </w:rPr>
        <w:t>.</w:t>
      </w:r>
    </w:p>
    <w:p w:rsidR="00CB52F7" w:rsidRPr="003D6332" w:rsidRDefault="00CB52F7" w:rsidP="00E213CA">
      <w:pPr>
        <w:pStyle w:val="ListParagraph"/>
        <w:numPr>
          <w:ilvl w:val="0"/>
          <w:numId w:val="35"/>
        </w:numPr>
        <w:rPr>
          <w:lang w:val="lv-LV"/>
        </w:rPr>
      </w:pPr>
      <w:r w:rsidRPr="003D6332">
        <w:rPr>
          <w:lang w:val="lv-LV"/>
        </w:rPr>
        <w:t>Soci</w:t>
      </w:r>
      <w:r w:rsidR="00515F21" w:rsidRPr="003D6332">
        <w:rPr>
          <w:lang w:val="lv-LV"/>
        </w:rPr>
        <w:t>ālā inovācija</w:t>
      </w:r>
    </w:p>
    <w:p w:rsidR="00515F21" w:rsidRPr="003D6332" w:rsidRDefault="00515F21" w:rsidP="008F2603">
      <w:pPr>
        <w:rPr>
          <w:lang w:val="lv-LV"/>
        </w:rPr>
      </w:pPr>
      <w:r w:rsidRPr="003D6332">
        <w:rPr>
          <w:lang w:val="lv-LV"/>
        </w:rPr>
        <w:t>Eiropas Savienība fin</w:t>
      </w:r>
      <w:r w:rsidR="00363005">
        <w:rPr>
          <w:lang w:val="lv-LV"/>
        </w:rPr>
        <w:t>a</w:t>
      </w:r>
      <w:r w:rsidRPr="003D6332">
        <w:rPr>
          <w:lang w:val="lv-LV"/>
        </w:rPr>
        <w:t>nsē inovatīvus sociālo pakalpojumu sniedzēju projektus visā Eiropā, izmantojot gan savus tiešos fondus, gan  struktūrfondus. Eiropas struktūrfondu un i</w:t>
      </w:r>
      <w:r w:rsidR="009B7E42" w:rsidRPr="003D6332">
        <w:rPr>
          <w:lang w:val="lv-LV"/>
        </w:rPr>
        <w:t>nvestīciju fondu</w:t>
      </w:r>
      <w:r w:rsidRPr="003D6332">
        <w:rPr>
          <w:lang w:val="lv-LV"/>
        </w:rPr>
        <w:t xml:space="preserve"> summa </w:t>
      </w:r>
      <w:r w:rsidR="009B7E42" w:rsidRPr="003D6332">
        <w:rPr>
          <w:lang w:val="lv-LV"/>
        </w:rPr>
        <w:t>laikposmam no 2014-2020 gadam ir 351.8 miljardi</w:t>
      </w:r>
      <w:r w:rsidRPr="003D6332">
        <w:rPr>
          <w:lang w:val="lv-LV"/>
        </w:rPr>
        <w:t xml:space="preserve"> eiro un ietver Eiropas Sociālo fondu, Eiropas Reģionālās attīstības fondu, utt</w:t>
      </w:r>
      <w:r w:rsidR="009B7E42" w:rsidRPr="003D6332">
        <w:rPr>
          <w:lang w:val="lv-LV"/>
        </w:rPr>
        <w:t>. S</w:t>
      </w:r>
      <w:r w:rsidRPr="003D6332">
        <w:rPr>
          <w:lang w:val="lv-LV"/>
        </w:rPr>
        <w:t xml:space="preserve">ociālā inovācija ir viena no galvenajām ieguldījumu prioritātēm abiem šiem fondiem. ES finansē </w:t>
      </w:r>
      <w:r w:rsidR="009B7E42" w:rsidRPr="003D6332">
        <w:rPr>
          <w:lang w:val="lv-LV"/>
        </w:rPr>
        <w:t xml:space="preserve"> </w:t>
      </w:r>
      <w:r w:rsidRPr="003D6332">
        <w:rPr>
          <w:lang w:val="lv-LV"/>
        </w:rPr>
        <w:t xml:space="preserve">inovatīvus projektus, </w:t>
      </w:r>
      <w:r w:rsidR="009B7E42" w:rsidRPr="003D6332">
        <w:rPr>
          <w:lang w:val="lv-LV"/>
        </w:rPr>
        <w:t>organizējot projektu konkursus</w:t>
      </w:r>
      <w:r w:rsidRPr="003D6332">
        <w:rPr>
          <w:lang w:val="lv-LV"/>
        </w:rPr>
        <w:t xml:space="preserve"> inovatīviem projektiem konkrētās jomās.</w:t>
      </w:r>
    </w:p>
    <w:p w:rsidR="00B34495" w:rsidRPr="003D6332" w:rsidRDefault="009B7E42" w:rsidP="00B86D69">
      <w:pPr>
        <w:spacing w:after="0"/>
        <w:rPr>
          <w:b/>
          <w:lang w:val="lv-LV"/>
        </w:rPr>
      </w:pPr>
      <w:r w:rsidRPr="003D6332">
        <w:rPr>
          <w:b/>
          <w:lang w:val="lv-LV"/>
        </w:rPr>
        <w:t>Eiropas nodarbinātības politika</w:t>
      </w:r>
    </w:p>
    <w:p w:rsidR="00691560" w:rsidRPr="003D6332" w:rsidRDefault="009B7E42" w:rsidP="008F2603">
      <w:pPr>
        <w:rPr>
          <w:lang w:val="lv-LV"/>
        </w:rPr>
      </w:pPr>
      <w:r w:rsidRPr="003D6332">
        <w:rPr>
          <w:lang w:val="lv-LV"/>
        </w:rPr>
        <w:t xml:space="preserve">Pēdējos gados Eiropas Savienība ir arvien aktīvāka Nodarbinātības politikas jomā; jo īpaši izmantojot gan Jaunatnes garantiju un vadlīnijas, lai mazinātu ilgtermiņa bezdarbu. Lai gan Jaunatnes garantija un vadlīnijas nav īpaši vērstas uz personām ar invaliditāti, tās abas attiecas uz sociāliem pakalpojumiem nodarbinātības atbalsta jomā. Jaunatnes garantiju ietver dalībvalstu apņemšanos  nodrošināt, ka četru mēnešu laikā pēc skolas beigšanas vai darba zaudēšanas, jaunieši līdz 25 </w:t>
      </w:r>
      <w:r w:rsidR="001B39EE" w:rsidRPr="003D6332">
        <w:rPr>
          <w:lang w:val="lv-LV"/>
        </w:rPr>
        <w:t xml:space="preserve">gadu vecumam </w:t>
      </w:r>
      <w:r w:rsidRPr="003D6332">
        <w:rPr>
          <w:lang w:val="lv-LV"/>
        </w:rPr>
        <w:t>var vai nu at</w:t>
      </w:r>
      <w:r w:rsidR="001B39EE" w:rsidRPr="003D6332">
        <w:rPr>
          <w:lang w:val="lv-LV"/>
        </w:rPr>
        <w:t xml:space="preserve">rast labas kvalitātes darbu, </w:t>
      </w:r>
      <w:r w:rsidR="001B39EE" w:rsidRPr="003D6332">
        <w:rPr>
          <w:lang w:val="lv-LV"/>
        </w:rPr>
        <w:lastRenderedPageBreak/>
        <w:t xml:space="preserve">atbilstošu </w:t>
      </w:r>
      <w:r w:rsidRPr="003D6332">
        <w:rPr>
          <w:lang w:val="lv-LV"/>
        </w:rPr>
        <w:t xml:space="preserve"> </w:t>
      </w:r>
      <w:r w:rsidR="001B39EE" w:rsidRPr="003D6332">
        <w:rPr>
          <w:lang w:val="lv-LV"/>
        </w:rPr>
        <w:t>savai izglītībai, prasmēm un pieredzei</w:t>
      </w:r>
      <w:r w:rsidRPr="003D6332">
        <w:rPr>
          <w:lang w:val="lv-LV"/>
        </w:rPr>
        <w:t>; vai apgūt izglītību, prasmes un pieredzi, izmantojot mācekļa, stažēšanās</w:t>
      </w:r>
      <w:r w:rsidR="001B39EE" w:rsidRPr="003D6332">
        <w:rPr>
          <w:lang w:val="lv-LV"/>
        </w:rPr>
        <w:t xml:space="preserve"> iespējas</w:t>
      </w:r>
      <w:r w:rsidRPr="003D6332">
        <w:rPr>
          <w:lang w:val="lv-LV"/>
        </w:rPr>
        <w:t xml:space="preserve"> vai turpin</w:t>
      </w:r>
      <w:r w:rsidR="001B39EE" w:rsidRPr="003D6332">
        <w:rPr>
          <w:lang w:val="lv-LV"/>
        </w:rPr>
        <w:t>ot</w:t>
      </w:r>
      <w:r w:rsidRPr="003D6332">
        <w:rPr>
          <w:lang w:val="lv-LV"/>
        </w:rPr>
        <w:t xml:space="preserve"> izglītību. </w:t>
      </w:r>
      <w:r w:rsidR="00A635AE" w:rsidRPr="003D6332">
        <w:rPr>
          <w:lang w:val="lv-LV"/>
        </w:rPr>
        <w:t>Kaut arī Jaunatnes garantija</w:t>
      </w:r>
      <w:r w:rsidR="001B39EE" w:rsidRPr="003D6332">
        <w:rPr>
          <w:lang w:val="lv-LV"/>
        </w:rPr>
        <w:t xml:space="preserve"> uz papīra</w:t>
      </w:r>
      <w:r w:rsidR="00A635AE" w:rsidRPr="003D6332">
        <w:rPr>
          <w:lang w:val="lv-LV"/>
        </w:rPr>
        <w:t xml:space="preserve"> ir</w:t>
      </w:r>
      <w:r w:rsidR="001B39EE" w:rsidRPr="003D6332">
        <w:rPr>
          <w:lang w:val="lv-LV"/>
        </w:rPr>
        <w:t xml:space="preserve"> atvērta v</w:t>
      </w:r>
      <w:r w:rsidR="00A635AE" w:rsidRPr="003D6332">
        <w:rPr>
          <w:lang w:val="lv-LV"/>
        </w:rPr>
        <w:t>isiem, realitāte ir tāda, ka tā vai</w:t>
      </w:r>
      <w:r w:rsidR="001B39EE" w:rsidRPr="003D6332">
        <w:rPr>
          <w:lang w:val="lv-LV"/>
        </w:rPr>
        <w:t xml:space="preserve"> nu izslēdz personas ar invaliditāti vai nav piemērota, lai </w:t>
      </w:r>
      <w:r w:rsidR="00ED1C97" w:rsidRPr="003D6332">
        <w:rPr>
          <w:lang w:val="lv-LV"/>
        </w:rPr>
        <w:t>nodrošinātu</w:t>
      </w:r>
      <w:r w:rsidR="001B39EE" w:rsidRPr="003D6332">
        <w:rPr>
          <w:lang w:val="lv-LV"/>
        </w:rPr>
        <w:t xml:space="preserve"> viņu papildu</w:t>
      </w:r>
      <w:r w:rsidR="00ED1C97" w:rsidRPr="003D6332">
        <w:rPr>
          <w:lang w:val="lv-LV"/>
        </w:rPr>
        <w:t>s atbalsta vajadzības</w:t>
      </w:r>
      <w:r w:rsidR="001B39EE" w:rsidRPr="003D6332">
        <w:rPr>
          <w:lang w:val="lv-LV"/>
        </w:rPr>
        <w:t xml:space="preserve">. </w:t>
      </w:r>
      <w:r w:rsidR="00ED1C97" w:rsidRPr="003D6332">
        <w:rPr>
          <w:lang w:val="lv-LV"/>
        </w:rPr>
        <w:t>D</w:t>
      </w:r>
      <w:r w:rsidR="00691560" w:rsidRPr="003D6332">
        <w:rPr>
          <w:lang w:val="lv-LV"/>
        </w:rPr>
        <w:t xml:space="preserve">alībvalstīm </w:t>
      </w:r>
      <w:r w:rsidR="00ED1C97" w:rsidRPr="003D6332">
        <w:rPr>
          <w:lang w:val="lv-LV"/>
        </w:rPr>
        <w:t xml:space="preserve">dotās </w:t>
      </w:r>
      <w:r w:rsidR="00691560" w:rsidRPr="003D6332">
        <w:rPr>
          <w:lang w:val="lv-LV"/>
        </w:rPr>
        <w:t xml:space="preserve">vadlīnijas, </w:t>
      </w:r>
      <w:r w:rsidR="00ED1C97" w:rsidRPr="003D6332">
        <w:rPr>
          <w:lang w:val="lv-LV"/>
        </w:rPr>
        <w:t>lai risinātu ilgtermiņa bezdarbu,</w:t>
      </w:r>
      <w:r w:rsidR="00691560" w:rsidRPr="003D6332">
        <w:rPr>
          <w:lang w:val="lv-LV"/>
        </w:rPr>
        <w:t xml:space="preserve"> </w:t>
      </w:r>
      <w:r w:rsidR="00ED1C97" w:rsidRPr="003D6332">
        <w:rPr>
          <w:lang w:val="lv-LV"/>
        </w:rPr>
        <w:t xml:space="preserve">šajā saistībā </w:t>
      </w:r>
      <w:r w:rsidR="00691560" w:rsidRPr="003D6332">
        <w:rPr>
          <w:lang w:val="lv-LV"/>
        </w:rPr>
        <w:t>ir daudz labāk</w:t>
      </w:r>
      <w:r w:rsidR="00ED1C97" w:rsidRPr="003D6332">
        <w:rPr>
          <w:lang w:val="lv-LV"/>
        </w:rPr>
        <w:t>as, jo tā</w:t>
      </w:r>
      <w:r w:rsidR="00691560" w:rsidRPr="003D6332">
        <w:rPr>
          <w:lang w:val="lv-LV"/>
        </w:rPr>
        <w:t xml:space="preserve">s ietver </w:t>
      </w:r>
      <w:r w:rsidR="00ED1C97" w:rsidRPr="003D6332">
        <w:rPr>
          <w:lang w:val="lv-LV"/>
        </w:rPr>
        <w:t>vienotu regulējumu personalizētam atbalstam</w:t>
      </w:r>
      <w:r w:rsidR="00691560" w:rsidRPr="003D6332">
        <w:rPr>
          <w:lang w:val="lv-LV"/>
        </w:rPr>
        <w:t xml:space="preserve"> starp visām attiecīgajām ieinteresētajām personām.</w:t>
      </w:r>
    </w:p>
    <w:p w:rsidR="00B34495" w:rsidRPr="003D6332" w:rsidRDefault="00ED1C97" w:rsidP="00B86D69">
      <w:pPr>
        <w:spacing w:after="0"/>
        <w:rPr>
          <w:b/>
          <w:lang w:val="lv-LV"/>
        </w:rPr>
      </w:pPr>
      <w:r w:rsidRPr="003D6332">
        <w:rPr>
          <w:b/>
          <w:lang w:val="lv-LV"/>
        </w:rPr>
        <w:t>Eiropas ekonomiskā un sociālā politika</w:t>
      </w:r>
    </w:p>
    <w:p w:rsidR="00865008" w:rsidRPr="003D6332" w:rsidRDefault="00691560">
      <w:pPr>
        <w:rPr>
          <w:lang w:val="lv-LV"/>
        </w:rPr>
      </w:pPr>
      <w:r w:rsidRPr="003D6332">
        <w:rPr>
          <w:lang w:val="lv-LV"/>
        </w:rPr>
        <w:t>ES ir kompetences ekonomisk</w:t>
      </w:r>
      <w:r w:rsidR="00ED1C97" w:rsidRPr="003D6332">
        <w:rPr>
          <w:lang w:val="lv-LV"/>
        </w:rPr>
        <w:t>ajā politikā, kad runa ir  par ilgtermiņa mērķu sasniegšanu</w:t>
      </w:r>
      <w:r w:rsidR="00865008" w:rsidRPr="003D6332">
        <w:rPr>
          <w:lang w:val="lv-LV"/>
        </w:rPr>
        <w:t>: stratēģija</w:t>
      </w:r>
      <w:r w:rsidRPr="003D6332">
        <w:rPr>
          <w:lang w:val="lv-LV"/>
        </w:rPr>
        <w:t xml:space="preserve"> Eiropa 2020 un</w:t>
      </w:r>
      <w:r w:rsidR="00865008" w:rsidRPr="003D6332">
        <w:rPr>
          <w:lang w:val="lv-LV"/>
        </w:rPr>
        <w:t xml:space="preserve"> Stabilitātes un izaugsmes pakts</w:t>
      </w:r>
      <w:r w:rsidRPr="003D6332">
        <w:rPr>
          <w:lang w:val="lv-LV"/>
        </w:rPr>
        <w:t>. Stratēģija Eiropa 2020 ir desmit ga</w:t>
      </w:r>
      <w:r w:rsidR="00865008" w:rsidRPr="003D6332">
        <w:rPr>
          <w:lang w:val="lv-LV"/>
        </w:rPr>
        <w:t>du stratēģija, kuras mērķis ir panākt</w:t>
      </w:r>
      <w:r w:rsidRPr="003D6332">
        <w:rPr>
          <w:lang w:val="lv-LV"/>
        </w:rPr>
        <w:t xml:space="preserve"> gudru, ilgtspējīgu un iekļaujošu izaugsmi visā Eiropā. Stabilitātes un izaugsmes pakts ir par</w:t>
      </w:r>
      <w:r w:rsidR="00865008" w:rsidRPr="003D6332">
        <w:rPr>
          <w:lang w:val="lv-LV"/>
        </w:rPr>
        <w:t xml:space="preserve"> to, lai</w:t>
      </w:r>
      <w:r w:rsidRPr="003D6332">
        <w:rPr>
          <w:lang w:val="lv-LV"/>
        </w:rPr>
        <w:t xml:space="preserve"> nodrošinātu, ka dalībvalstis ievēro stabilas </w:t>
      </w:r>
      <w:r w:rsidR="00865008" w:rsidRPr="003D6332">
        <w:rPr>
          <w:lang w:val="lv-LV"/>
        </w:rPr>
        <w:t>valsts finanses un izvairītos no pārmērīga budžeta deficīta</w:t>
      </w:r>
      <w:r w:rsidRPr="003D6332">
        <w:rPr>
          <w:lang w:val="lv-LV"/>
        </w:rPr>
        <w:t>.</w:t>
      </w:r>
      <w:bookmarkStart w:id="24" w:name="_Toc440291010"/>
    </w:p>
    <w:p w:rsidR="00B86D69" w:rsidRPr="003D6332" w:rsidRDefault="00865008">
      <w:pPr>
        <w:rPr>
          <w:rFonts w:eastAsiaTheme="majorEastAsia" w:cstheme="majorBidi"/>
          <w:b/>
          <w:bCs/>
          <w:color w:val="365F91" w:themeColor="accent1" w:themeShade="BF"/>
          <w:sz w:val="28"/>
          <w:szCs w:val="28"/>
          <w:lang w:val="lv-LV"/>
        </w:rPr>
      </w:pPr>
      <w:r w:rsidRPr="003D6332">
        <w:rPr>
          <w:lang w:val="lv-LV"/>
        </w:rPr>
        <w:t>Eiropas Savienības</w:t>
      </w:r>
      <w:r w:rsidR="00691560" w:rsidRPr="003D6332">
        <w:rPr>
          <w:lang w:val="lv-LV"/>
        </w:rPr>
        <w:t xml:space="preserve"> galvenais i</w:t>
      </w:r>
      <w:r w:rsidRPr="003D6332">
        <w:rPr>
          <w:lang w:val="lv-LV"/>
        </w:rPr>
        <w:t xml:space="preserve">nstruments, lai nodrošinātu dalībvalstu politiku koordināciju </w:t>
      </w:r>
      <w:r w:rsidR="00691560" w:rsidRPr="003D6332">
        <w:rPr>
          <w:lang w:val="lv-LV"/>
        </w:rPr>
        <w:t xml:space="preserve"> </w:t>
      </w:r>
      <w:r w:rsidRPr="003D6332">
        <w:rPr>
          <w:lang w:val="lv-LV"/>
        </w:rPr>
        <w:t>īstenojot</w:t>
      </w:r>
      <w:r w:rsidR="00691560" w:rsidRPr="003D6332">
        <w:rPr>
          <w:lang w:val="lv-LV"/>
        </w:rPr>
        <w:t xml:space="preserve"> </w:t>
      </w:r>
      <w:r w:rsidRPr="003D6332">
        <w:rPr>
          <w:lang w:val="lv-LV"/>
        </w:rPr>
        <w:t>abas šīs stratēģijas</w:t>
      </w:r>
      <w:r w:rsidR="00691560" w:rsidRPr="003D6332">
        <w:rPr>
          <w:lang w:val="lv-LV"/>
        </w:rPr>
        <w:t xml:space="preserve"> ir Eiropas </w:t>
      </w:r>
      <w:r w:rsidRPr="003D6332">
        <w:rPr>
          <w:lang w:val="lv-LV"/>
        </w:rPr>
        <w:t>semestris</w:t>
      </w:r>
      <w:r w:rsidR="00691560" w:rsidRPr="003D6332">
        <w:rPr>
          <w:lang w:val="lv-LV"/>
        </w:rPr>
        <w:t xml:space="preserve">. Eiropas </w:t>
      </w:r>
      <w:r w:rsidRPr="003D6332">
        <w:rPr>
          <w:lang w:val="lv-LV"/>
        </w:rPr>
        <w:t>semestris ir dialoga process</w:t>
      </w:r>
      <w:r w:rsidR="00691560" w:rsidRPr="003D6332">
        <w:rPr>
          <w:lang w:val="lv-LV"/>
        </w:rPr>
        <w:t xml:space="preserve"> starp </w:t>
      </w:r>
      <w:r w:rsidRPr="003D6332">
        <w:rPr>
          <w:lang w:val="lv-LV"/>
        </w:rPr>
        <w:t>Eiropas Komisiju un dalībvalstīm, lai</w:t>
      </w:r>
      <w:r w:rsidR="00691560" w:rsidRPr="003D6332">
        <w:rPr>
          <w:lang w:val="lv-LV"/>
        </w:rPr>
        <w:t xml:space="preserve"> koordinēt</w:t>
      </w:r>
      <w:r w:rsidRPr="003D6332">
        <w:rPr>
          <w:lang w:val="lv-LV"/>
        </w:rPr>
        <w:t>u valstu politiku izstrādi saskaņā ar</w:t>
      </w:r>
      <w:r w:rsidR="00691560" w:rsidRPr="003D6332">
        <w:rPr>
          <w:lang w:val="lv-LV"/>
        </w:rPr>
        <w:t xml:space="preserve"> div</w:t>
      </w:r>
      <w:r w:rsidRPr="003D6332">
        <w:rPr>
          <w:lang w:val="lv-LV"/>
        </w:rPr>
        <w:t xml:space="preserve">ām </w:t>
      </w:r>
      <w:r w:rsidR="00691560" w:rsidRPr="003D6332">
        <w:rPr>
          <w:lang w:val="lv-LV"/>
        </w:rPr>
        <w:t>iepriekš minētaj</w:t>
      </w:r>
      <w:r w:rsidRPr="003D6332">
        <w:rPr>
          <w:lang w:val="lv-LV"/>
        </w:rPr>
        <w:t>ām stratēģijām</w:t>
      </w:r>
      <w:r w:rsidR="00691560" w:rsidRPr="003D6332">
        <w:rPr>
          <w:lang w:val="lv-LV"/>
        </w:rPr>
        <w:t xml:space="preserve">. Eiropas </w:t>
      </w:r>
      <w:r w:rsidRPr="003D6332">
        <w:rPr>
          <w:lang w:val="lv-LV"/>
        </w:rPr>
        <w:t xml:space="preserve">semestra </w:t>
      </w:r>
      <w:r w:rsidR="00691560" w:rsidRPr="003D6332">
        <w:rPr>
          <w:lang w:val="lv-LV"/>
        </w:rPr>
        <w:t xml:space="preserve">process ietver ieteikumus dalībvalstīm </w:t>
      </w:r>
      <w:r w:rsidRPr="003D6332">
        <w:rPr>
          <w:lang w:val="lv-LV"/>
        </w:rPr>
        <w:t>tādās jomās kā valsts izdevumi</w:t>
      </w:r>
      <w:r w:rsidR="00691560" w:rsidRPr="003D6332">
        <w:rPr>
          <w:lang w:val="lv-LV"/>
        </w:rPr>
        <w:t>, darba tirgu</w:t>
      </w:r>
      <w:r w:rsidRPr="003D6332">
        <w:rPr>
          <w:lang w:val="lv-LV"/>
        </w:rPr>
        <w:t>s, izglītība un aprūpes politika</w:t>
      </w:r>
      <w:r w:rsidR="00A517CC" w:rsidRPr="003D6332">
        <w:rPr>
          <w:lang w:val="lv-LV"/>
        </w:rPr>
        <w:t xml:space="preserve">, tā ietekmējot </w:t>
      </w:r>
      <w:r w:rsidR="00691560" w:rsidRPr="003D6332">
        <w:rPr>
          <w:lang w:val="lv-LV"/>
        </w:rPr>
        <w:t xml:space="preserve"> saistīt</w:t>
      </w:r>
      <w:r w:rsidR="00A517CC" w:rsidRPr="003D6332">
        <w:rPr>
          <w:lang w:val="lv-LV"/>
        </w:rPr>
        <w:t>u</w:t>
      </w:r>
      <w:r w:rsidR="00691560" w:rsidRPr="003D6332">
        <w:rPr>
          <w:lang w:val="lv-LV"/>
        </w:rPr>
        <w:t xml:space="preserve"> ar sociālo pakalpojumu sniedzēju</w:t>
      </w:r>
      <w:r w:rsidR="00A517CC" w:rsidRPr="003D6332">
        <w:rPr>
          <w:lang w:val="lv-LV"/>
        </w:rPr>
        <w:t xml:space="preserve"> darbu valsts politiku</w:t>
      </w:r>
      <w:r w:rsidR="00691560" w:rsidRPr="003D6332">
        <w:rPr>
          <w:lang w:val="lv-LV"/>
        </w:rPr>
        <w:t>.</w:t>
      </w:r>
    </w:p>
    <w:p w:rsidR="005E2DCC" w:rsidRPr="003D6332" w:rsidRDefault="005E2DCC" w:rsidP="00D73219">
      <w:pPr>
        <w:pStyle w:val="Heading1"/>
        <w:spacing w:before="0" w:line="240" w:lineRule="auto"/>
        <w:rPr>
          <w:rFonts w:asciiTheme="minorHAnsi" w:hAnsiTheme="minorHAnsi"/>
          <w:lang w:val="lv-LV"/>
        </w:rPr>
      </w:pPr>
      <w:r w:rsidRPr="003D6332">
        <w:rPr>
          <w:rFonts w:asciiTheme="minorHAnsi" w:hAnsiTheme="minorHAnsi"/>
          <w:lang w:val="lv-LV"/>
        </w:rPr>
        <w:t>BIBLIOGR</w:t>
      </w:r>
      <w:r w:rsidR="00363005">
        <w:rPr>
          <w:rFonts w:asciiTheme="minorHAnsi" w:hAnsiTheme="minorHAnsi"/>
          <w:lang w:val="lv-LV"/>
        </w:rPr>
        <w:t>ĀFIJA</w:t>
      </w:r>
      <w:r w:rsidRPr="003D6332">
        <w:rPr>
          <w:rFonts w:asciiTheme="minorHAnsi" w:hAnsiTheme="minorHAnsi"/>
          <w:lang w:val="lv-LV"/>
        </w:rPr>
        <w:t>/</w:t>
      </w:r>
      <w:bookmarkEnd w:id="24"/>
      <w:r w:rsidR="00363005">
        <w:rPr>
          <w:rFonts w:asciiTheme="minorHAnsi" w:hAnsiTheme="minorHAnsi"/>
          <w:lang w:val="lv-LV"/>
        </w:rPr>
        <w:t>IETEICAMĀ LITERATŪRA</w:t>
      </w:r>
    </w:p>
    <w:p w:rsidR="00B34495" w:rsidRPr="003D6332" w:rsidRDefault="00B34495" w:rsidP="00D73219">
      <w:pPr>
        <w:pStyle w:val="Heading2"/>
        <w:rPr>
          <w:rStyle w:val="Hyperlink"/>
          <w:lang w:val="lv-LV"/>
        </w:rPr>
      </w:pPr>
    </w:p>
    <w:p w:rsidR="00B86D69" w:rsidRPr="003D6332" w:rsidRDefault="00B86D69" w:rsidP="00E213CA">
      <w:pPr>
        <w:pStyle w:val="ListParagraph"/>
        <w:numPr>
          <w:ilvl w:val="0"/>
          <w:numId w:val="35"/>
        </w:numPr>
        <w:rPr>
          <w:lang w:val="lv-LV"/>
        </w:rPr>
      </w:pPr>
      <w:r w:rsidRPr="003D6332">
        <w:rPr>
          <w:lang w:val="lv-LV"/>
        </w:rPr>
        <w:t xml:space="preserve">Caritas Europa (2013): </w:t>
      </w:r>
      <w:hyperlink r:id="rId9" w:history="1">
        <w:r w:rsidRPr="003D6332">
          <w:rPr>
            <w:rStyle w:val="Hyperlink"/>
            <w:lang w:val="lv-LV"/>
          </w:rPr>
          <w:t>The Future of the Welfare State</w:t>
        </w:r>
      </w:hyperlink>
      <w:r w:rsidRPr="003D6332">
        <w:rPr>
          <w:lang w:val="lv-LV"/>
        </w:rPr>
        <w:t xml:space="preserve"> </w:t>
      </w:r>
    </w:p>
    <w:p w:rsidR="00B86D69" w:rsidRPr="003D6332" w:rsidRDefault="00B86D69" w:rsidP="00E213CA">
      <w:pPr>
        <w:pStyle w:val="ListParagraph"/>
        <w:numPr>
          <w:ilvl w:val="0"/>
          <w:numId w:val="35"/>
        </w:numPr>
        <w:rPr>
          <w:lang w:val="lv-LV"/>
        </w:rPr>
      </w:pPr>
      <w:r w:rsidRPr="003D6332">
        <w:rPr>
          <w:lang w:val="lv-LV"/>
        </w:rPr>
        <w:t xml:space="preserve">Council of Europe (2007): </w:t>
      </w:r>
      <w:hyperlink r:id="rId10" w:anchor="v=onepage&amp;q=social%20services%20in%20europe&amp;f=false" w:history="1">
        <w:r w:rsidRPr="003D6332">
          <w:rPr>
            <w:rStyle w:val="Hyperlink"/>
            <w:lang w:val="lv-LV"/>
          </w:rPr>
          <w:t>Integrated social services in Europe</w:t>
        </w:r>
      </w:hyperlink>
    </w:p>
    <w:p w:rsidR="00B86D69" w:rsidRPr="003D6332" w:rsidRDefault="00B86D69" w:rsidP="00E213CA">
      <w:pPr>
        <w:pStyle w:val="ListParagraph"/>
        <w:numPr>
          <w:ilvl w:val="0"/>
          <w:numId w:val="35"/>
        </w:numPr>
        <w:rPr>
          <w:rFonts w:eastAsiaTheme="majorEastAsia"/>
          <w:lang w:val="lv-LV"/>
        </w:rPr>
      </w:pPr>
      <w:r w:rsidRPr="003D6332">
        <w:rPr>
          <w:rFonts w:eastAsiaTheme="majorEastAsia"/>
          <w:lang w:val="lv-LV"/>
        </w:rPr>
        <w:t>EU documents</w:t>
      </w:r>
    </w:p>
    <w:p w:rsidR="00B86D69" w:rsidRPr="003D6332" w:rsidRDefault="00B86D69" w:rsidP="00E213CA">
      <w:pPr>
        <w:pStyle w:val="ListParagraph"/>
        <w:numPr>
          <w:ilvl w:val="0"/>
          <w:numId w:val="35"/>
        </w:numPr>
        <w:rPr>
          <w:rFonts w:asciiTheme="majorHAnsi" w:eastAsiaTheme="majorEastAsia" w:hAnsiTheme="majorHAnsi" w:cstheme="majorBidi"/>
          <w:b/>
          <w:bCs/>
          <w:sz w:val="28"/>
          <w:szCs w:val="28"/>
          <w:u w:val="single"/>
          <w:lang w:val="lv-LV"/>
        </w:rPr>
      </w:pPr>
      <w:r w:rsidRPr="003D6332">
        <w:rPr>
          <w:lang w:val="lv-LV"/>
        </w:rPr>
        <w:t xml:space="preserve">European Commission (2006):  </w:t>
      </w:r>
      <w:hyperlink r:id="rId11" w:history="1">
        <w:r w:rsidRPr="003D6332">
          <w:rPr>
            <w:rStyle w:val="Hyperlink"/>
            <w:lang w:val="lv-LV"/>
          </w:rPr>
          <w:t>Services in the internal market directive</w:t>
        </w:r>
      </w:hyperlink>
    </w:p>
    <w:p w:rsidR="00B86D69" w:rsidRPr="003D6332" w:rsidRDefault="00B86D69" w:rsidP="00E213CA">
      <w:pPr>
        <w:pStyle w:val="ListParagraph"/>
        <w:numPr>
          <w:ilvl w:val="0"/>
          <w:numId w:val="35"/>
        </w:numPr>
        <w:rPr>
          <w:rFonts w:asciiTheme="majorHAnsi" w:eastAsiaTheme="majorEastAsia" w:hAnsiTheme="majorHAnsi" w:cstheme="majorBidi"/>
          <w:b/>
          <w:bCs/>
          <w:sz w:val="28"/>
          <w:szCs w:val="28"/>
          <w:u w:val="single"/>
          <w:lang w:val="lv-LV"/>
        </w:rPr>
      </w:pPr>
      <w:r w:rsidRPr="003D6332">
        <w:rPr>
          <w:lang w:val="lv-LV"/>
        </w:rPr>
        <w:t xml:space="preserve">European Commission (2006): </w:t>
      </w:r>
      <w:hyperlink r:id="rId12" w:history="1">
        <w:r w:rsidRPr="003D6332">
          <w:rPr>
            <w:rStyle w:val="Hyperlink"/>
            <w:lang w:val="lv-LV"/>
          </w:rPr>
          <w:t>Communication on Social Services of General Interest in the European Union</w:t>
        </w:r>
      </w:hyperlink>
      <w:r w:rsidRPr="003D6332">
        <w:rPr>
          <w:lang w:val="lv-LV"/>
        </w:rPr>
        <w:t xml:space="preserve"> (available in all EU languages). </w:t>
      </w:r>
    </w:p>
    <w:p w:rsidR="00B86D69" w:rsidRPr="003D6332" w:rsidRDefault="00B86D69" w:rsidP="00E213CA">
      <w:pPr>
        <w:pStyle w:val="ListParagraph"/>
        <w:numPr>
          <w:ilvl w:val="0"/>
          <w:numId w:val="35"/>
        </w:numPr>
        <w:rPr>
          <w:rFonts w:asciiTheme="majorHAnsi" w:eastAsiaTheme="majorEastAsia" w:hAnsiTheme="majorHAnsi" w:cstheme="majorBidi"/>
          <w:b/>
          <w:bCs/>
          <w:sz w:val="28"/>
          <w:szCs w:val="28"/>
          <w:u w:val="single"/>
          <w:lang w:val="lv-LV"/>
        </w:rPr>
      </w:pPr>
      <w:r w:rsidRPr="003D6332">
        <w:rPr>
          <w:lang w:val="lv-LV"/>
        </w:rPr>
        <w:t xml:space="preserve">European Commission (2008): </w:t>
      </w:r>
      <w:hyperlink r:id="rId13" w:history="1">
        <w:r w:rsidRPr="003D6332">
          <w:rPr>
            <w:rStyle w:val="Hyperlink"/>
            <w:lang w:val="lv-LV"/>
          </w:rPr>
          <w:t>Proposal for a European Anti-discrimination Act</w:t>
        </w:r>
      </w:hyperlink>
    </w:p>
    <w:p w:rsidR="00B86D69" w:rsidRPr="003D6332" w:rsidRDefault="00B86D69" w:rsidP="00E213CA">
      <w:pPr>
        <w:pStyle w:val="ListParagraph"/>
        <w:numPr>
          <w:ilvl w:val="0"/>
          <w:numId w:val="35"/>
        </w:numPr>
        <w:rPr>
          <w:lang w:val="lv-LV"/>
        </w:rPr>
      </w:pPr>
      <w:r w:rsidRPr="003D6332">
        <w:rPr>
          <w:lang w:val="lv-LV"/>
        </w:rPr>
        <w:t xml:space="preserve">European Commission (2011): </w:t>
      </w:r>
      <w:hyperlink r:id="rId14" w:history="1">
        <w:r w:rsidRPr="003D6332">
          <w:rPr>
            <w:rStyle w:val="Hyperlink"/>
            <w:lang w:val="lv-LV"/>
          </w:rPr>
          <w:t>Study on Social Services of General Interest</w:t>
        </w:r>
      </w:hyperlink>
    </w:p>
    <w:p w:rsidR="00B86D69" w:rsidRPr="003D6332" w:rsidRDefault="00B86D69" w:rsidP="00E213CA">
      <w:pPr>
        <w:pStyle w:val="ListParagraph"/>
        <w:numPr>
          <w:ilvl w:val="0"/>
          <w:numId w:val="35"/>
        </w:numPr>
        <w:rPr>
          <w:lang w:val="lv-LV"/>
        </w:rPr>
      </w:pPr>
      <w:r w:rsidRPr="003D6332">
        <w:rPr>
          <w:lang w:val="lv-LV"/>
        </w:rPr>
        <w:t xml:space="preserve">European Commission (2012): </w:t>
      </w:r>
      <w:hyperlink r:id="rId15" w:history="1">
        <w:r w:rsidRPr="003D6332">
          <w:rPr>
            <w:rStyle w:val="Hyperlink"/>
            <w:lang w:val="lv-LV"/>
          </w:rPr>
          <w:t>Staff Working Document on Exploiting the employment potential of the personal and household services</w:t>
        </w:r>
      </w:hyperlink>
    </w:p>
    <w:p w:rsidR="00B86D69" w:rsidRPr="003D6332" w:rsidRDefault="00B86D69" w:rsidP="00E213CA">
      <w:pPr>
        <w:pStyle w:val="ListParagraph"/>
        <w:numPr>
          <w:ilvl w:val="0"/>
          <w:numId w:val="35"/>
        </w:numPr>
        <w:rPr>
          <w:rFonts w:asciiTheme="majorHAnsi" w:eastAsiaTheme="majorEastAsia" w:hAnsiTheme="majorHAnsi" w:cstheme="majorBidi"/>
          <w:b/>
          <w:bCs/>
          <w:sz w:val="28"/>
          <w:szCs w:val="28"/>
          <w:u w:val="single"/>
          <w:lang w:val="lv-LV"/>
        </w:rPr>
      </w:pPr>
      <w:r w:rsidRPr="003D6332">
        <w:rPr>
          <w:lang w:val="lv-LV"/>
        </w:rPr>
        <w:t xml:space="preserve">European Commission (2013): </w:t>
      </w:r>
      <w:hyperlink r:id="rId16" w:history="1">
        <w:r w:rsidRPr="003D6332">
          <w:rPr>
            <w:rStyle w:val="Hyperlink"/>
            <w:lang w:val="lv-LV"/>
          </w:rPr>
          <w:t>Social Investment Package</w:t>
        </w:r>
      </w:hyperlink>
    </w:p>
    <w:p w:rsidR="00B86D69" w:rsidRPr="003D6332" w:rsidRDefault="00B86D69" w:rsidP="00E213CA">
      <w:pPr>
        <w:pStyle w:val="ListParagraph"/>
        <w:numPr>
          <w:ilvl w:val="0"/>
          <w:numId w:val="35"/>
        </w:numPr>
        <w:rPr>
          <w:rFonts w:asciiTheme="majorHAnsi" w:eastAsiaTheme="majorEastAsia" w:hAnsiTheme="majorHAnsi" w:cstheme="majorBidi"/>
          <w:b/>
          <w:bCs/>
          <w:sz w:val="28"/>
          <w:szCs w:val="28"/>
          <w:u w:val="single"/>
          <w:lang w:val="lv-LV"/>
        </w:rPr>
      </w:pPr>
      <w:r w:rsidRPr="003D6332">
        <w:rPr>
          <w:lang w:val="lv-LV"/>
        </w:rPr>
        <w:lastRenderedPageBreak/>
        <w:t xml:space="preserve">European Commission (2015): </w:t>
      </w:r>
      <w:hyperlink r:id="rId17" w:history="1">
        <w:r w:rsidRPr="003D6332">
          <w:rPr>
            <w:rStyle w:val="Hyperlink"/>
            <w:lang w:val="lv-LV"/>
          </w:rPr>
          <w:t>Proposal for a European Accessibility Act</w:t>
        </w:r>
      </w:hyperlink>
      <w:r w:rsidRPr="003D6332">
        <w:rPr>
          <w:rStyle w:val="Hyperlink"/>
          <w:lang w:val="lv-LV"/>
        </w:rPr>
        <w:t xml:space="preserve"> </w:t>
      </w:r>
    </w:p>
    <w:p w:rsidR="00B86D69" w:rsidRPr="003D6332" w:rsidRDefault="00B86D69" w:rsidP="00E213CA">
      <w:pPr>
        <w:pStyle w:val="ListParagraph"/>
        <w:numPr>
          <w:ilvl w:val="0"/>
          <w:numId w:val="35"/>
        </w:numPr>
        <w:rPr>
          <w:rFonts w:asciiTheme="majorHAnsi" w:eastAsiaTheme="majorEastAsia" w:hAnsiTheme="majorHAnsi" w:cstheme="majorBidi"/>
          <w:b/>
          <w:bCs/>
          <w:sz w:val="28"/>
          <w:szCs w:val="28"/>
          <w:u w:val="single"/>
          <w:lang w:val="lv-LV"/>
        </w:rPr>
      </w:pPr>
      <w:r w:rsidRPr="003D6332">
        <w:rPr>
          <w:lang w:val="lv-LV"/>
        </w:rPr>
        <w:t xml:space="preserve">European Directive on </w:t>
      </w:r>
      <w:hyperlink r:id="rId18" w:history="1">
        <w:r w:rsidRPr="003D6332">
          <w:rPr>
            <w:rStyle w:val="Hyperlink"/>
            <w:lang w:val="lv-LV"/>
          </w:rPr>
          <w:t>Equal Treatment in employment and occupation</w:t>
        </w:r>
      </w:hyperlink>
      <w:r w:rsidRPr="003D6332">
        <w:rPr>
          <w:lang w:val="lv-LV"/>
        </w:rPr>
        <w:t xml:space="preserve"> (2000)</w:t>
      </w:r>
    </w:p>
    <w:p w:rsidR="00B86D69" w:rsidRPr="003D6332" w:rsidRDefault="00611D64" w:rsidP="00E213CA">
      <w:pPr>
        <w:pStyle w:val="ListParagraph"/>
        <w:numPr>
          <w:ilvl w:val="0"/>
          <w:numId w:val="35"/>
        </w:numPr>
        <w:rPr>
          <w:lang w:val="lv-LV"/>
        </w:rPr>
      </w:pPr>
      <w:hyperlink r:id="rId19" w:history="1">
        <w:r w:rsidR="00B86D69" w:rsidRPr="003D6332">
          <w:rPr>
            <w:rStyle w:val="Hyperlink"/>
            <w:lang w:val="lv-LV"/>
          </w:rPr>
          <w:t>European Disability Strategy</w:t>
        </w:r>
        <w:r w:rsidR="00B86D69" w:rsidRPr="003D6332">
          <w:rPr>
            <w:lang w:val="lv-LV"/>
          </w:rPr>
          <w:t xml:space="preserve"> 2010-2020</w:t>
        </w:r>
      </w:hyperlink>
    </w:p>
    <w:p w:rsidR="00B86D69" w:rsidRPr="003D6332" w:rsidRDefault="00B86D69" w:rsidP="00E213CA">
      <w:pPr>
        <w:pStyle w:val="ListParagraph"/>
        <w:numPr>
          <w:ilvl w:val="0"/>
          <w:numId w:val="35"/>
        </w:numPr>
        <w:rPr>
          <w:rFonts w:asciiTheme="majorHAnsi" w:eastAsiaTheme="majorEastAsia" w:hAnsiTheme="majorHAnsi" w:cstheme="majorBidi"/>
          <w:b/>
          <w:bCs/>
          <w:sz w:val="28"/>
          <w:szCs w:val="28"/>
          <w:u w:val="single"/>
          <w:lang w:val="lv-LV"/>
        </w:rPr>
      </w:pPr>
      <w:r w:rsidRPr="003D6332">
        <w:rPr>
          <w:lang w:val="lv-LV"/>
        </w:rPr>
        <w:t xml:space="preserve">European Union (2003): </w:t>
      </w:r>
      <w:hyperlink r:id="rId20" w:history="1">
        <w:r w:rsidRPr="003D6332">
          <w:rPr>
            <w:rStyle w:val="Hyperlink"/>
            <w:lang w:val="lv-LV"/>
          </w:rPr>
          <w:t>Working Time Directive</w:t>
        </w:r>
      </w:hyperlink>
    </w:p>
    <w:p w:rsidR="00B86D69" w:rsidRPr="003D6332" w:rsidRDefault="00B86D69" w:rsidP="00E213CA">
      <w:pPr>
        <w:pStyle w:val="ListParagraph"/>
        <w:numPr>
          <w:ilvl w:val="0"/>
          <w:numId w:val="35"/>
        </w:numPr>
        <w:rPr>
          <w:rFonts w:asciiTheme="majorHAnsi" w:eastAsiaTheme="majorEastAsia" w:hAnsiTheme="majorHAnsi" w:cstheme="majorBidi"/>
          <w:b/>
          <w:bCs/>
          <w:sz w:val="28"/>
          <w:szCs w:val="28"/>
          <w:u w:val="single"/>
          <w:lang w:val="lv-LV"/>
        </w:rPr>
      </w:pPr>
      <w:r w:rsidRPr="003D6332">
        <w:rPr>
          <w:lang w:val="lv-LV"/>
        </w:rPr>
        <w:t xml:space="preserve">European Union (2013): </w:t>
      </w:r>
      <w:hyperlink r:id="rId21" w:history="1">
        <w:r w:rsidRPr="003D6332">
          <w:rPr>
            <w:rStyle w:val="Hyperlink"/>
            <w:lang w:val="lv-LV"/>
          </w:rPr>
          <w:t>Youth Guarantee</w:t>
        </w:r>
      </w:hyperlink>
      <w:r w:rsidRPr="003D6332">
        <w:rPr>
          <w:rStyle w:val="Hyperlink"/>
          <w:lang w:val="lv-LV"/>
        </w:rPr>
        <w:t xml:space="preserve"> </w:t>
      </w:r>
    </w:p>
    <w:p w:rsidR="00B86D69" w:rsidRPr="003D6332" w:rsidRDefault="00B86D69" w:rsidP="00E213CA">
      <w:pPr>
        <w:pStyle w:val="ListParagraph"/>
        <w:numPr>
          <w:ilvl w:val="0"/>
          <w:numId w:val="35"/>
        </w:numPr>
        <w:rPr>
          <w:rFonts w:asciiTheme="majorHAnsi" w:eastAsiaTheme="majorEastAsia" w:hAnsiTheme="majorHAnsi" w:cstheme="majorBidi"/>
          <w:b/>
          <w:bCs/>
          <w:sz w:val="28"/>
          <w:szCs w:val="28"/>
          <w:u w:val="single"/>
          <w:lang w:val="lv-LV"/>
        </w:rPr>
      </w:pPr>
      <w:r w:rsidRPr="003D6332">
        <w:rPr>
          <w:lang w:val="lv-LV"/>
        </w:rPr>
        <w:t xml:space="preserve">European Union (2014) </w:t>
      </w:r>
      <w:hyperlink r:id="rId22" w:history="1">
        <w:r w:rsidRPr="003D6332">
          <w:rPr>
            <w:rStyle w:val="Hyperlink"/>
            <w:lang w:val="lv-LV"/>
          </w:rPr>
          <w:t>Grant Block Exemption Regulation</w:t>
        </w:r>
      </w:hyperlink>
      <w:r w:rsidRPr="003D6332">
        <w:rPr>
          <w:lang w:val="lv-LV"/>
        </w:rPr>
        <w:t xml:space="preserve"> (State Aid rules)</w:t>
      </w:r>
    </w:p>
    <w:p w:rsidR="00B86D69" w:rsidRPr="003D6332" w:rsidRDefault="00B86D69" w:rsidP="00E213CA">
      <w:pPr>
        <w:pStyle w:val="ListParagraph"/>
        <w:numPr>
          <w:ilvl w:val="0"/>
          <w:numId w:val="35"/>
        </w:numPr>
        <w:rPr>
          <w:rFonts w:asciiTheme="majorHAnsi" w:eastAsiaTheme="majorEastAsia" w:hAnsiTheme="majorHAnsi" w:cstheme="majorBidi"/>
          <w:b/>
          <w:bCs/>
          <w:sz w:val="28"/>
          <w:szCs w:val="28"/>
          <w:u w:val="single"/>
          <w:lang w:val="lv-LV"/>
        </w:rPr>
      </w:pPr>
      <w:r w:rsidRPr="003D6332">
        <w:rPr>
          <w:lang w:val="lv-LV"/>
        </w:rPr>
        <w:t xml:space="preserve">European Union (2014) </w:t>
      </w:r>
      <w:hyperlink r:id="rId23" w:history="1">
        <w:r w:rsidRPr="003D6332">
          <w:rPr>
            <w:rStyle w:val="Hyperlink"/>
            <w:lang w:val="lv-LV"/>
          </w:rPr>
          <w:t>Public Procurement Directive</w:t>
        </w:r>
      </w:hyperlink>
    </w:p>
    <w:p w:rsidR="00B86D69" w:rsidRPr="003D6332" w:rsidRDefault="00B86D69" w:rsidP="00E213CA">
      <w:pPr>
        <w:pStyle w:val="ListParagraph"/>
        <w:numPr>
          <w:ilvl w:val="0"/>
          <w:numId w:val="35"/>
        </w:numPr>
        <w:rPr>
          <w:rStyle w:val="Hyperlink"/>
          <w:rFonts w:eastAsiaTheme="majorEastAsia" w:cstheme="majorBidi"/>
          <w:b/>
          <w:bCs/>
          <w:color w:val="404040" w:themeColor="text1" w:themeTint="BF"/>
          <w:sz w:val="28"/>
          <w:szCs w:val="28"/>
          <w:u w:val="none"/>
          <w:lang w:val="lv-LV"/>
        </w:rPr>
      </w:pPr>
      <w:r w:rsidRPr="003D6332">
        <w:rPr>
          <w:lang w:val="lv-LV"/>
        </w:rPr>
        <w:t xml:space="preserve">European Union (2015): </w:t>
      </w:r>
      <w:hyperlink r:id="rId24" w:history="1">
        <w:r w:rsidRPr="003D6332">
          <w:rPr>
            <w:rStyle w:val="Hyperlink"/>
            <w:lang w:val="lv-LV"/>
          </w:rPr>
          <w:t>Council Recommendation on the integration of the long-term unemployed into the labour market</w:t>
        </w:r>
      </w:hyperlink>
    </w:p>
    <w:p w:rsidR="00B86D69" w:rsidRPr="003D6332" w:rsidRDefault="00611D64" w:rsidP="00E213CA">
      <w:pPr>
        <w:pStyle w:val="ListParagraph"/>
        <w:numPr>
          <w:ilvl w:val="0"/>
          <w:numId w:val="35"/>
        </w:numPr>
        <w:rPr>
          <w:lang w:val="lv-LV"/>
        </w:rPr>
      </w:pPr>
      <w:hyperlink r:id="rId25" w:history="1">
        <w:r w:rsidR="00B86D69" w:rsidRPr="003D6332">
          <w:rPr>
            <w:rStyle w:val="Hyperlink"/>
            <w:lang w:val="lv-LV"/>
          </w:rPr>
          <w:t>International Covenant on Civil and Political Rights</w:t>
        </w:r>
      </w:hyperlink>
      <w:r w:rsidR="00B86D69" w:rsidRPr="003D6332">
        <w:rPr>
          <w:lang w:val="lv-LV"/>
        </w:rPr>
        <w:t xml:space="preserve"> and the </w:t>
      </w:r>
      <w:hyperlink r:id="rId26" w:history="1">
        <w:r w:rsidR="00B86D69" w:rsidRPr="003D6332">
          <w:rPr>
            <w:rStyle w:val="Hyperlink"/>
            <w:lang w:val="lv-LV"/>
          </w:rPr>
          <w:t>International Covenant on Economic, Social and Cultural Rights</w:t>
        </w:r>
      </w:hyperlink>
      <w:r w:rsidR="00B86D69" w:rsidRPr="003D6332">
        <w:rPr>
          <w:rStyle w:val="Hyperlink"/>
          <w:lang w:val="lv-LV"/>
        </w:rPr>
        <w:t xml:space="preserve"> </w:t>
      </w:r>
      <w:r w:rsidR="00B86D69" w:rsidRPr="003D6332">
        <w:rPr>
          <w:lang w:val="lv-LV"/>
        </w:rPr>
        <w:t>(1966)</w:t>
      </w:r>
    </w:p>
    <w:p w:rsidR="00B86D69" w:rsidRPr="003D6332" w:rsidRDefault="00FB5D41" w:rsidP="00D73219">
      <w:pPr>
        <w:pStyle w:val="Heading2"/>
        <w:rPr>
          <w:lang w:val="lv-LV"/>
        </w:rPr>
      </w:pPr>
      <w:r>
        <w:rPr>
          <w:lang w:val="lv-LV"/>
        </w:rPr>
        <w:t>Citi dokumenti</w:t>
      </w:r>
    </w:p>
    <w:p w:rsidR="00B86D69" w:rsidRPr="003D6332" w:rsidRDefault="00B86D69" w:rsidP="00E213CA">
      <w:pPr>
        <w:pStyle w:val="ListParagraph"/>
        <w:numPr>
          <w:ilvl w:val="0"/>
          <w:numId w:val="35"/>
        </w:numPr>
        <w:rPr>
          <w:rFonts w:asciiTheme="majorHAnsi" w:eastAsiaTheme="majorEastAsia" w:hAnsiTheme="majorHAnsi" w:cstheme="majorBidi"/>
          <w:b/>
          <w:bCs/>
          <w:sz w:val="28"/>
          <w:szCs w:val="28"/>
          <w:u w:val="single"/>
          <w:lang w:val="lv-LV"/>
        </w:rPr>
      </w:pPr>
      <w:r w:rsidRPr="003D6332">
        <w:rPr>
          <w:lang w:val="lv-LV"/>
        </w:rPr>
        <w:t xml:space="preserve">Social Protection Committee: </w:t>
      </w:r>
      <w:hyperlink r:id="rId27" w:history="1">
        <w:r w:rsidRPr="003D6332">
          <w:rPr>
            <w:rStyle w:val="Hyperlink"/>
            <w:lang w:val="lv-LV"/>
          </w:rPr>
          <w:t>Voluntary European Quality Framework</w:t>
        </w:r>
      </w:hyperlink>
      <w:r w:rsidRPr="003D6332">
        <w:rPr>
          <w:lang w:val="lv-LV"/>
        </w:rPr>
        <w:t xml:space="preserve"> (2010)</w:t>
      </w:r>
    </w:p>
    <w:p w:rsidR="00B86D69" w:rsidRPr="003D6332" w:rsidRDefault="00B86D69" w:rsidP="00E213CA">
      <w:pPr>
        <w:pStyle w:val="ListParagraph"/>
        <w:numPr>
          <w:ilvl w:val="0"/>
          <w:numId w:val="35"/>
        </w:numPr>
        <w:rPr>
          <w:rStyle w:val="Hyperlink"/>
          <w:color w:val="404040" w:themeColor="text1" w:themeTint="BF"/>
          <w:u w:val="none"/>
          <w:lang w:val="lv-LV"/>
        </w:rPr>
      </w:pPr>
      <w:r w:rsidRPr="003D6332">
        <w:rPr>
          <w:lang w:val="lv-LV"/>
        </w:rPr>
        <w:t xml:space="preserve">UN Committee on the Rights of Persons with Disabilities (2015) </w:t>
      </w:r>
      <w:hyperlink r:id="rId28" w:history="1">
        <w:r w:rsidRPr="003D6332">
          <w:rPr>
            <w:rStyle w:val="Hyperlink"/>
            <w:lang w:val="lv-LV"/>
          </w:rPr>
          <w:t>Concluding Observations on the initial report of the EU</w:t>
        </w:r>
      </w:hyperlink>
    </w:p>
    <w:p w:rsidR="00B86D69" w:rsidRPr="003D6332" w:rsidRDefault="00611D64" w:rsidP="00E213CA">
      <w:pPr>
        <w:pStyle w:val="ListParagraph"/>
        <w:numPr>
          <w:ilvl w:val="0"/>
          <w:numId w:val="35"/>
        </w:numPr>
        <w:rPr>
          <w:lang w:val="lv-LV"/>
        </w:rPr>
      </w:pPr>
      <w:hyperlink r:id="rId29" w:history="1">
        <w:r w:rsidR="00B86D69" w:rsidRPr="003D6332">
          <w:rPr>
            <w:rStyle w:val="Hyperlink"/>
            <w:lang w:val="lv-LV"/>
          </w:rPr>
          <w:t>United Nations Convention on the Rights of Persons with Disabilities</w:t>
        </w:r>
      </w:hyperlink>
      <w:r w:rsidR="00B86D69" w:rsidRPr="003D6332">
        <w:rPr>
          <w:lang w:val="lv-LV"/>
        </w:rPr>
        <w:t xml:space="preserve"> (2006)</w:t>
      </w:r>
    </w:p>
    <w:p w:rsidR="00B86D69" w:rsidRPr="003D6332" w:rsidRDefault="00611D64" w:rsidP="00E213CA">
      <w:pPr>
        <w:pStyle w:val="ListParagraph"/>
        <w:numPr>
          <w:ilvl w:val="0"/>
          <w:numId w:val="35"/>
        </w:numPr>
        <w:rPr>
          <w:lang w:val="lv-LV"/>
        </w:rPr>
      </w:pPr>
      <w:hyperlink r:id="rId30" w:history="1">
        <w:r w:rsidR="00B86D69" w:rsidRPr="003D6332">
          <w:rPr>
            <w:rStyle w:val="Hyperlink"/>
            <w:lang w:val="lv-LV"/>
          </w:rPr>
          <w:t>United Nations Declaration of Human Rights</w:t>
        </w:r>
      </w:hyperlink>
      <w:r w:rsidR="00B86D69" w:rsidRPr="003D6332">
        <w:rPr>
          <w:lang w:val="lv-LV"/>
        </w:rPr>
        <w:t xml:space="preserve"> (1948)</w:t>
      </w:r>
    </w:p>
    <w:p w:rsidR="00B86D69" w:rsidRPr="003D6332" w:rsidRDefault="00B86D69" w:rsidP="00E213CA">
      <w:pPr>
        <w:pStyle w:val="ListParagraph"/>
        <w:numPr>
          <w:ilvl w:val="0"/>
          <w:numId w:val="35"/>
        </w:numPr>
        <w:rPr>
          <w:lang w:val="lv-LV"/>
        </w:rPr>
      </w:pPr>
      <w:r w:rsidRPr="003D6332">
        <w:rPr>
          <w:lang w:val="lv-LV"/>
        </w:rPr>
        <w:t xml:space="preserve">United Nations: </w:t>
      </w:r>
      <w:hyperlink r:id="rId31" w:history="1">
        <w:r w:rsidRPr="003D6332">
          <w:rPr>
            <w:rStyle w:val="Hyperlink"/>
            <w:lang w:val="lv-LV"/>
          </w:rPr>
          <w:t>Standard Rules on the Equalisation of Opportunities for Persons with Disabilities</w:t>
        </w:r>
      </w:hyperlink>
      <w:r w:rsidRPr="003D6332">
        <w:rPr>
          <w:lang w:val="lv-LV"/>
        </w:rPr>
        <w:t xml:space="preserve"> (1993)</w:t>
      </w:r>
    </w:p>
    <w:p w:rsidR="005E2DCC" w:rsidRPr="003D6332" w:rsidRDefault="00B34495" w:rsidP="00D73219">
      <w:pPr>
        <w:pStyle w:val="Heading2"/>
        <w:rPr>
          <w:lang w:val="lv-LV"/>
        </w:rPr>
      </w:pPr>
      <w:r w:rsidRPr="003D6332">
        <w:rPr>
          <w:lang w:val="lv-LV"/>
        </w:rPr>
        <w:t>RES</w:t>
      </w:r>
      <w:r w:rsidR="00FB5D41">
        <w:rPr>
          <w:lang w:val="lv-LV"/>
        </w:rPr>
        <w:t>URSI</w:t>
      </w:r>
    </w:p>
    <w:p w:rsidR="00B86D69" w:rsidRPr="003D6332" w:rsidRDefault="00B86D69" w:rsidP="00E213CA">
      <w:pPr>
        <w:pStyle w:val="ListParagraph"/>
        <w:numPr>
          <w:ilvl w:val="0"/>
          <w:numId w:val="41"/>
        </w:numPr>
        <w:rPr>
          <w:lang w:val="lv-LV"/>
        </w:rPr>
      </w:pPr>
      <w:r w:rsidRPr="003D6332">
        <w:rPr>
          <w:lang w:val="lv-LV"/>
        </w:rPr>
        <w:t xml:space="preserve">Council of Europe: </w:t>
      </w:r>
      <w:hyperlink r:id="rId32" w:history="1">
        <w:r w:rsidRPr="003D6332">
          <w:rPr>
            <w:rStyle w:val="Hyperlink"/>
            <w:lang w:val="lv-LV"/>
          </w:rPr>
          <w:t>Committee of Experts on the Rights of Persons with Disabilities</w:t>
        </w:r>
      </w:hyperlink>
    </w:p>
    <w:p w:rsidR="009567D6" w:rsidRPr="003D6332" w:rsidRDefault="00B86D69" w:rsidP="00E213CA">
      <w:pPr>
        <w:pStyle w:val="ListParagraph"/>
        <w:numPr>
          <w:ilvl w:val="0"/>
          <w:numId w:val="41"/>
        </w:numPr>
        <w:rPr>
          <w:rStyle w:val="Hyperlink"/>
          <w:color w:val="262626" w:themeColor="text1" w:themeTint="D9"/>
          <w:u w:val="none"/>
          <w:lang w:val="lv-LV"/>
        </w:rPr>
      </w:pPr>
      <w:r w:rsidRPr="003D6332">
        <w:rPr>
          <w:lang w:val="lv-LV"/>
        </w:rPr>
        <w:t xml:space="preserve">Council of Europe: </w:t>
      </w:r>
      <w:hyperlink r:id="rId33" w:history="1">
        <w:r w:rsidRPr="003D6332">
          <w:rPr>
            <w:rStyle w:val="Hyperlink"/>
            <w:lang w:val="lv-LV"/>
          </w:rPr>
          <w:t>Disability Action Plan 2006-2015</w:t>
        </w:r>
      </w:hyperlink>
    </w:p>
    <w:p w:rsidR="00D73219" w:rsidRPr="003D6332" w:rsidRDefault="00FB5D41" w:rsidP="008C5D1C">
      <w:pPr>
        <w:pStyle w:val="Title"/>
        <w:rPr>
          <w:color w:val="262626" w:themeColor="text1" w:themeTint="D9"/>
          <w:lang w:val="lv-LV"/>
        </w:rPr>
      </w:pPr>
      <w:r>
        <w:rPr>
          <w:lang w:val="lv-LV"/>
        </w:rPr>
        <w:t>IZDALES BEIGAS</w:t>
      </w:r>
    </w:p>
    <w:sectPr w:rsidR="00D73219" w:rsidRPr="003D6332" w:rsidSect="006205A8">
      <w:headerReference w:type="default" r:id="rId34"/>
      <w:footerReference w:type="default" r:id="rId35"/>
      <w:pgSz w:w="11906" w:h="16838"/>
      <w:pgMar w:top="1809"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64" w:rsidRDefault="00611D64" w:rsidP="00474D7A">
      <w:pPr>
        <w:spacing w:after="0" w:line="240" w:lineRule="auto"/>
      </w:pPr>
      <w:r>
        <w:separator/>
      </w:r>
    </w:p>
  </w:endnote>
  <w:endnote w:type="continuationSeparator" w:id="0">
    <w:p w:rsidR="00611D64" w:rsidRDefault="00611D64" w:rsidP="0047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08" w:rsidRPr="005437C6" w:rsidRDefault="00611D64" w:rsidP="00D73219">
    <w:pPr>
      <w:tabs>
        <w:tab w:val="center" w:pos="4536"/>
        <w:tab w:val="right" w:pos="9072"/>
      </w:tabs>
      <w:suppressAutoHyphens/>
      <w:spacing w:after="0" w:line="240" w:lineRule="auto"/>
    </w:pPr>
    <w:r>
      <w:pict>
        <v:rect id="_x0000_i1025" style="width:0;height:1.5pt" o:hralign="center" o:hrstd="t" o:hr="t" fillcolor="#a0a0a0" stroked="f"/>
      </w:pict>
    </w:r>
  </w:p>
  <w:p w:rsidR="00865008" w:rsidRPr="005437C6" w:rsidRDefault="00067C2F" w:rsidP="00D73219">
    <w:pPr>
      <w:tabs>
        <w:tab w:val="center" w:pos="4536"/>
        <w:tab w:val="right" w:pos="9072"/>
      </w:tabs>
      <w:suppressAutoHyphens/>
      <w:spacing w:after="0" w:line="240" w:lineRule="auto"/>
      <w:jc w:val="center"/>
      <w:rPr>
        <w:noProof/>
      </w:rPr>
    </w:pPr>
    <w:r>
      <w:fldChar w:fldCharType="begin"/>
    </w:r>
    <w:r w:rsidR="00865008">
      <w:instrText xml:space="preserve"> PAGE   \* MERGEFORMAT </w:instrText>
    </w:r>
    <w:r>
      <w:fldChar w:fldCharType="separate"/>
    </w:r>
    <w:r w:rsidR="002F0851">
      <w:rPr>
        <w:noProof/>
      </w:rPr>
      <w:t>1</w:t>
    </w:r>
    <w:r>
      <w:rPr>
        <w:noProof/>
      </w:rPr>
      <w:fldChar w:fldCharType="end"/>
    </w:r>
  </w:p>
  <w:p w:rsidR="00865008" w:rsidRPr="005437C6" w:rsidRDefault="002F0851" w:rsidP="00D73219">
    <w:pPr>
      <w:tabs>
        <w:tab w:val="center" w:pos="4536"/>
        <w:tab w:val="right" w:pos="9072"/>
      </w:tabs>
      <w:suppressAutoHyphens/>
      <w:spacing w:after="0" w:line="240" w:lineRule="auto"/>
      <w:jc w:val="center"/>
    </w:pPr>
    <w:r>
      <w:rPr>
        <w:noProof/>
        <w:lang w:val="lv-LV" w:eastAsia="lv-LV"/>
      </w:rPr>
      <mc:AlternateContent>
        <mc:Choice Requires="wps">
          <w:drawing>
            <wp:inline distT="0" distB="0" distL="0" distR="0">
              <wp:extent cx="2440940" cy="472440"/>
              <wp:effectExtent l="0" t="0" r="0" b="381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47244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14:hiddenEffects>
                        </a:ext>
                      </a:extLst>
                    </wps:spPr>
                    <wps:txbx>
                      <w:txbxContent>
                        <w:p w:rsidR="00865008" w:rsidRPr="00D55B3D" w:rsidRDefault="00865008" w:rsidP="00D73219">
                          <w:pPr>
                            <w:spacing w:after="0" w:line="240" w:lineRule="auto"/>
                            <w:rPr>
                              <w:color w:val="7F7F7F" w:themeColor="text1" w:themeTint="80"/>
                              <w:lang w:val="en-US"/>
                            </w:rPr>
                          </w:pPr>
                          <w:r w:rsidRPr="00936B86">
                            <w:rPr>
                              <w:sz w:val="20"/>
                              <w:lang w:val="en-US"/>
                            </w:rPr>
                            <w:t>The Disability Leaders of Tomorrow Project</w:t>
                          </w:r>
                          <w:r>
                            <w:rPr>
                              <w:sz w:val="20"/>
                              <w:lang w:val="en-US"/>
                            </w:rPr>
                            <w:t xml:space="preserve"> </w:t>
                          </w:r>
                          <w:r w:rsidRPr="00936B86">
                            <w:rPr>
                              <w:sz w:val="20"/>
                              <w:lang w:val="en-US"/>
                            </w:rPr>
                            <w:t>(D</w:t>
                          </w:r>
                          <w:r>
                            <w:rPr>
                              <w:sz w:val="20"/>
                              <w:lang w:val="en-US"/>
                            </w:rPr>
                            <w:t xml:space="preserve"> LoT) is generously supported by</w:t>
                          </w:r>
                        </w:p>
                      </w:txbxContent>
                    </wps:txbx>
                    <wps:bodyPr rot="0" vert="horz" wrap="square" lIns="45720" tIns="45720" rIns="45720" bIns="4572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width:192.2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" adj="1739" fillcolor="#943634" stroked="f" strokeweight="2pt">
              <v:textbox inset="3.6pt,,3.6pt">
                <w:txbxContent>
                  <w:p w:rsidR="00865008" w:rsidRPr="00D55B3D" w:rsidRDefault="00865008" w:rsidP="00D73219">
                    <w:pPr>
                      <w:spacing w:after="0" w:line="240" w:lineRule="auto"/>
                      <w:rPr>
                        <w:color w:val="7F7F7F" w:themeColor="text1" w:themeTint="80"/>
                        <w:lang w:val="en-US"/>
                      </w:rPr>
                    </w:pPr>
                    <w:r w:rsidRPr="00936B86">
                      <w:rPr>
                        <w:sz w:val="20"/>
                        <w:lang w:val="en-US"/>
                      </w:rPr>
                      <w:t>The Disability Leaders of Tomorrow Project</w:t>
                    </w:r>
                    <w:r>
                      <w:rPr>
                        <w:sz w:val="20"/>
                        <w:lang w:val="en-US"/>
                      </w:rPr>
                      <w:t xml:space="preserve"> </w:t>
                    </w:r>
                    <w:r w:rsidRPr="00936B86">
                      <w:rPr>
                        <w:sz w:val="20"/>
                        <w:lang w:val="en-US"/>
                      </w:rPr>
                      <w:t>(D</w:t>
                    </w:r>
                    <w:r>
                      <w:rPr>
                        <w:sz w:val="20"/>
                        <w:lang w:val="en-US"/>
                      </w:rPr>
                      <w:t xml:space="preserve"> LoT) is generously supported by</w:t>
                    </w:r>
                  </w:p>
                </w:txbxContent>
              </v:textbox>
              <w10:anchorlock/>
            </v:shape>
          </w:pict>
        </mc:Fallback>
      </mc:AlternateContent>
    </w:r>
  </w:p>
  <w:p w:rsidR="00865008" w:rsidRPr="00D73219" w:rsidRDefault="00865008" w:rsidP="00D73219">
    <w:pPr>
      <w:pStyle w:val="Footer"/>
    </w:pPr>
    <w:r w:rsidRPr="00D55B3D">
      <w:rPr>
        <w:rFonts w:eastAsia="Calibri"/>
        <w:noProof/>
        <w:lang w:val="lv-LV" w:eastAsia="lv-LV"/>
      </w:rPr>
      <w:drawing>
        <wp:anchor distT="0" distB="0" distL="114300" distR="114300" simplePos="0" relativeHeight="251677696" behindDoc="1" locked="0" layoutInCell="1" allowOverlap="1">
          <wp:simplePos x="903605" y="10017125"/>
          <wp:positionH relativeFrom="column">
            <wp:align>center</wp:align>
          </wp:positionH>
          <wp:positionV relativeFrom="paragraph">
            <wp:posOffset>3810</wp:posOffset>
          </wp:positionV>
          <wp:extent cx="2268000" cy="223200"/>
          <wp:effectExtent l="0" t="0" r="0" b="5715"/>
          <wp:wrapTight wrapText="bothSides">
            <wp:wrapPolygon edited="0">
              <wp:start x="0" y="0"/>
              <wp:lineTo x="0" y="20308"/>
              <wp:lineTo x="21412" y="20308"/>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cid:imageb2c4f1.JPG@b6e9c883.48aed16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68000" cy="2232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64" w:rsidRDefault="00611D64" w:rsidP="00474D7A">
      <w:pPr>
        <w:spacing w:after="0" w:line="240" w:lineRule="auto"/>
      </w:pPr>
      <w:r>
        <w:separator/>
      </w:r>
    </w:p>
  </w:footnote>
  <w:footnote w:type="continuationSeparator" w:id="0">
    <w:p w:rsidR="00611D64" w:rsidRDefault="00611D64" w:rsidP="00474D7A">
      <w:pPr>
        <w:spacing w:after="0" w:line="240" w:lineRule="auto"/>
      </w:pPr>
      <w:r>
        <w:continuationSeparator/>
      </w:r>
    </w:p>
  </w:footnote>
  <w:footnote w:id="1">
    <w:p w:rsidR="00865008" w:rsidRDefault="00865008" w:rsidP="00BF1B37">
      <w:pPr>
        <w:pStyle w:val="FootnoteText"/>
      </w:pPr>
      <w:r>
        <w:rPr>
          <w:rStyle w:val="FootnoteReference"/>
        </w:rPr>
        <w:footnoteRef/>
      </w:r>
      <w:r>
        <w:t xml:space="preserve"> </w:t>
      </w:r>
      <w:hyperlink r:id="rId1" w:history="1">
        <w:r w:rsidRPr="00BF1B37">
          <w:rPr>
            <w:rStyle w:val="Hyperlink"/>
            <w:rFonts w:cs="Arial"/>
          </w:rPr>
          <w:t>European Union’s 2006 Communication on Social services of general interest in the European Union gives the freedom to Member</w:t>
        </w:r>
      </w:hyperlink>
      <w:r w:rsidRPr="009D2907">
        <w:rPr>
          <w:rFont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08" w:rsidRDefault="00865008" w:rsidP="00041A5C">
    <w:pPr>
      <w:pStyle w:val="Header"/>
      <w:tabs>
        <w:tab w:val="clear" w:pos="4536"/>
        <w:tab w:val="center" w:pos="4395"/>
      </w:tabs>
      <w:ind w:firstLine="567"/>
      <w:jc w:val="center"/>
      <w:rPr>
        <w:noProof/>
        <w:sz w:val="28"/>
        <w:lang w:eastAsia="en-GB"/>
      </w:rPr>
    </w:pPr>
    <w:r>
      <w:rPr>
        <w:noProof/>
        <w:sz w:val="28"/>
        <w:lang w:val="lv-LV" w:eastAsia="lv-LV"/>
      </w:rPr>
      <w:drawing>
        <wp:anchor distT="0" distB="0" distL="114300" distR="114300" simplePos="0" relativeHeight="251675648" behindDoc="1" locked="0" layoutInCell="1" allowOverlap="1">
          <wp:simplePos x="0" y="0"/>
          <wp:positionH relativeFrom="margin">
            <wp:posOffset>5315585</wp:posOffset>
          </wp:positionH>
          <wp:positionV relativeFrom="paragraph">
            <wp:posOffset>-398780</wp:posOffset>
          </wp:positionV>
          <wp:extent cx="1162685" cy="833120"/>
          <wp:effectExtent l="0" t="0" r="0" b="5080"/>
          <wp:wrapTight wrapText="bothSides">
            <wp:wrapPolygon edited="0">
              <wp:start x="12741" y="0"/>
              <wp:lineTo x="2123" y="5927"/>
              <wp:lineTo x="2123" y="18274"/>
              <wp:lineTo x="4601" y="20250"/>
              <wp:lineTo x="7432" y="21238"/>
              <wp:lineTo x="19465" y="21238"/>
              <wp:lineTo x="19819" y="8890"/>
              <wp:lineTo x="18403" y="6421"/>
              <wp:lineTo x="14510" y="0"/>
              <wp:lineTo x="12741" y="0"/>
            </wp:wrapPolygon>
          </wp:wrapTight>
          <wp:docPr id="1" name="Picture 1" descr="Logo of the European Association of Service providers for persons with Disabilities- D-LoT project prom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GIF_transparent.gif"/>
                  <pic:cNvPicPr/>
                </pic:nvPicPr>
                <pic:blipFill rotWithShape="1">
                  <a:blip r:embed="rId1">
                    <a:extLst>
                      <a:ext uri="{28A0092B-C50C-407E-A947-70E740481C1C}">
                        <a14:useLocalDpi xmlns:a14="http://schemas.microsoft.com/office/drawing/2010/main" val="0"/>
                      </a:ext>
                    </a:extLst>
                  </a:blip>
                  <a:srcRect t="12436" b="16321"/>
                  <a:stretch/>
                </pic:blipFill>
                <pic:spPr bwMode="auto">
                  <a:xfrm>
                    <a:off x="0" y="0"/>
                    <a:ext cx="1162685" cy="833120"/>
                  </a:xfrm>
                  <a:prstGeom prst="rect">
                    <a:avLst/>
                  </a:prstGeom>
                  <a:ln>
                    <a:noFill/>
                  </a:ln>
                  <a:effectLst>
                    <a:innerShdw blurRad="63500" dist="50800" dir="16200000">
                      <a:prstClr val="black">
                        <a:alpha val="50000"/>
                      </a:prstClr>
                    </a:innerShdw>
                  </a:effectLst>
                  <a:extLst>
                    <a:ext uri="{53640926-AAD7-44D8-BBD7-CCE9431645EC}">
                      <a14:shadowObscured xmlns:a14="http://schemas.microsoft.com/office/drawing/2010/main"/>
                    </a:ext>
                  </a:extLst>
                </pic:spPr>
              </pic:pic>
            </a:graphicData>
          </a:graphic>
        </wp:anchor>
      </w:drawing>
    </w:r>
    <w:r>
      <w:rPr>
        <w:noProof/>
        <w:sz w:val="28"/>
        <w:lang w:val="lv-LV" w:eastAsia="lv-LV"/>
      </w:rPr>
      <w:drawing>
        <wp:anchor distT="0" distB="0" distL="114300" distR="114300" simplePos="0" relativeHeight="251674624" behindDoc="1" locked="0" layoutInCell="1" allowOverlap="1">
          <wp:simplePos x="0" y="0"/>
          <wp:positionH relativeFrom="margin">
            <wp:posOffset>-776605</wp:posOffset>
          </wp:positionH>
          <wp:positionV relativeFrom="paragraph">
            <wp:posOffset>-398780</wp:posOffset>
          </wp:positionV>
          <wp:extent cx="1951990" cy="887095"/>
          <wp:effectExtent l="0" t="0" r="0" b="8255"/>
          <wp:wrapTight wrapText="bothSides">
            <wp:wrapPolygon edited="0">
              <wp:start x="3794" y="0"/>
              <wp:lineTo x="422" y="2783"/>
              <wp:lineTo x="0" y="6494"/>
              <wp:lineTo x="0" y="12524"/>
              <wp:lineTo x="632" y="17626"/>
              <wp:lineTo x="2740" y="21337"/>
              <wp:lineTo x="4638" y="21337"/>
              <wp:lineTo x="5902" y="21337"/>
              <wp:lineTo x="16442" y="21337"/>
              <wp:lineTo x="21291" y="19482"/>
              <wp:lineTo x="21291" y="7885"/>
              <wp:lineTo x="20658" y="1855"/>
              <wp:lineTo x="4848" y="0"/>
              <wp:lineTo x="3794" y="0"/>
            </wp:wrapPolygon>
          </wp:wrapTight>
          <wp:docPr id="3" name="Picture 3" descr="Logo of the Disability Leaders of Tomorrow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T-logo-chosen-color-WEB.png"/>
                  <pic:cNvPicPr/>
                </pic:nvPicPr>
                <pic:blipFill>
                  <a:blip r:embed="rId2">
                    <a:extLst>
                      <a:ext uri="{28A0092B-C50C-407E-A947-70E740481C1C}">
                        <a14:useLocalDpi xmlns:a14="http://schemas.microsoft.com/office/drawing/2010/main" val="0"/>
                      </a:ext>
                    </a:extLst>
                  </a:blip>
                  <a:stretch>
                    <a:fillRect/>
                  </a:stretch>
                </pic:blipFill>
                <pic:spPr>
                  <a:xfrm>
                    <a:off x="0" y="0"/>
                    <a:ext cx="1951990" cy="887095"/>
                  </a:xfrm>
                  <a:prstGeom prst="rect">
                    <a:avLst/>
                  </a:prstGeom>
                  <a:ln>
                    <a:noFill/>
                  </a:ln>
                  <a:effectLst>
                    <a:innerShdw blurRad="63500" dist="50800" dir="16200000">
                      <a:prstClr val="black">
                        <a:alpha val="50000"/>
                      </a:prstClr>
                    </a:innerShdw>
                  </a:effectLst>
                </pic:spPr>
              </pic:pic>
            </a:graphicData>
          </a:graphic>
        </wp:anchor>
      </w:drawing>
    </w:r>
    <w:r>
      <w:rPr>
        <w:noProof/>
        <w:sz w:val="28"/>
        <w:lang w:val="lv-LV" w:eastAsia="lv-LV"/>
      </w:rPr>
      <w:drawing>
        <wp:anchor distT="0" distB="0" distL="114300" distR="114300" simplePos="0" relativeHeight="251673600" behindDoc="1" locked="0" layoutInCell="1" allowOverlap="1">
          <wp:simplePos x="0" y="0"/>
          <wp:positionH relativeFrom="column">
            <wp:posOffset>-899795</wp:posOffset>
          </wp:positionH>
          <wp:positionV relativeFrom="paragraph">
            <wp:posOffset>-466725</wp:posOffset>
          </wp:positionV>
          <wp:extent cx="7571740" cy="1109345"/>
          <wp:effectExtent l="0" t="0" r="0" b="0"/>
          <wp:wrapTight wrapText="bothSides">
            <wp:wrapPolygon edited="0">
              <wp:start x="0" y="0"/>
              <wp:lineTo x="0" y="21143"/>
              <wp:lineTo x="6956" y="21143"/>
              <wp:lineTo x="21520" y="20772"/>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gradient.png"/>
                  <pic:cNvPicPr/>
                </pic:nvPicPr>
                <pic:blipFill>
                  <a:blip r:embed="rId3">
                    <a:extLst>
                      <a:ext uri="{28A0092B-C50C-407E-A947-70E740481C1C}">
                        <a14:useLocalDpi xmlns:a14="http://schemas.microsoft.com/office/drawing/2010/main" val="0"/>
                      </a:ext>
                    </a:extLst>
                  </a:blip>
                  <a:stretch>
                    <a:fillRect/>
                  </a:stretch>
                </pic:blipFill>
                <pic:spPr>
                  <a:xfrm>
                    <a:off x="0" y="0"/>
                    <a:ext cx="7571740" cy="1109345"/>
                  </a:xfrm>
                  <a:prstGeom prst="rect">
                    <a:avLst/>
                  </a:prstGeom>
                </pic:spPr>
              </pic:pic>
            </a:graphicData>
          </a:graphic>
        </wp:anchor>
      </w:drawing>
    </w:r>
  </w:p>
  <w:p w:rsidR="00865008" w:rsidRPr="00041A5C" w:rsidRDefault="00865008" w:rsidP="00041A5C">
    <w:pPr>
      <w:pStyle w:val="Header"/>
      <w:tabs>
        <w:tab w:val="clear" w:pos="4536"/>
        <w:tab w:val="center" w:pos="4395"/>
      </w:tabs>
      <w:ind w:firstLine="567"/>
      <w:jc w:val="center"/>
      <w:rPr>
        <w:sz w:val="28"/>
      </w:rPr>
    </w:pPr>
    <w:r>
      <w:rPr>
        <w:noProof/>
        <w:sz w:val="28"/>
        <w:lang w:val="lv-LV" w:eastAsia="lv-LV"/>
      </w:rPr>
      <w:drawing>
        <wp:inline distT="0" distB="0" distL="0" distR="0">
          <wp:extent cx="5760720" cy="57899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GIF_transparent.gif"/>
                  <pic:cNvPicPr/>
                </pic:nvPicPr>
                <pic:blipFill>
                  <a:blip r:embed="rId1">
                    <a:extLst>
                      <a:ext uri="{28A0092B-C50C-407E-A947-70E740481C1C}">
                        <a14:useLocalDpi xmlns:a14="http://schemas.microsoft.com/office/drawing/2010/main" val="0"/>
                      </a:ext>
                    </a:extLst>
                  </a:blip>
                  <a:stretch>
                    <a:fillRect/>
                  </a:stretch>
                </pic:blipFill>
                <pic:spPr>
                  <a:xfrm>
                    <a:off x="0" y="0"/>
                    <a:ext cx="5760720" cy="5789930"/>
                  </a:xfrm>
                  <a:prstGeom prst="rect">
                    <a:avLst/>
                  </a:prstGeom>
                </pic:spPr>
              </pic:pic>
            </a:graphicData>
          </a:graphic>
        </wp:inline>
      </w:drawing>
    </w:r>
    <w:r>
      <w:rPr>
        <w:noProof/>
        <w:sz w:val="28"/>
        <w:lang w:val="lv-LV" w:eastAsia="lv-LV"/>
      </w:rPr>
      <w:drawing>
        <wp:inline distT="0" distB="0" distL="0" distR="0">
          <wp:extent cx="5760720" cy="57899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PNG_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5760720" cy="57899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18396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7591348"/>
    <w:multiLevelType w:val="hybridMultilevel"/>
    <w:tmpl w:val="DCB4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0303E4"/>
    <w:multiLevelType w:val="hybridMultilevel"/>
    <w:tmpl w:val="4BD244C2"/>
    <w:lvl w:ilvl="0" w:tplc="080C0015">
      <w:start w:val="1"/>
      <w:numFmt w:val="upp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0AC5C71"/>
    <w:multiLevelType w:val="hybridMultilevel"/>
    <w:tmpl w:val="26C6F9E0"/>
    <w:lvl w:ilvl="0" w:tplc="FC80748C">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8E54CD"/>
    <w:multiLevelType w:val="hybridMultilevel"/>
    <w:tmpl w:val="B210B0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5080EB2"/>
    <w:multiLevelType w:val="hybridMultilevel"/>
    <w:tmpl w:val="049654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5841E2A"/>
    <w:multiLevelType w:val="multilevel"/>
    <w:tmpl w:val="1968F1B0"/>
    <w:lvl w:ilvl="0">
      <w:start w:val="1"/>
      <w:numFmt w:val="low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16E46DC2"/>
    <w:multiLevelType w:val="hybridMultilevel"/>
    <w:tmpl w:val="DFD475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02C615E"/>
    <w:multiLevelType w:val="hybridMultilevel"/>
    <w:tmpl w:val="1E8E72DC"/>
    <w:lvl w:ilvl="0" w:tplc="08090001">
      <w:start w:val="1"/>
      <w:numFmt w:val="bullet"/>
      <w:lvlText w:val=""/>
      <w:lvlJc w:val="left"/>
      <w:pPr>
        <w:ind w:left="720" w:hanging="360"/>
      </w:pPr>
      <w:rPr>
        <w:rFonts w:ascii="Symbol" w:hAnsi="Symbol" w:hint="default"/>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9F3050"/>
    <w:multiLevelType w:val="hybridMultilevel"/>
    <w:tmpl w:val="647A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846F8"/>
    <w:multiLevelType w:val="hybridMultilevel"/>
    <w:tmpl w:val="9BA81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C416DF9"/>
    <w:multiLevelType w:val="hybridMultilevel"/>
    <w:tmpl w:val="C602E0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4F44493"/>
    <w:multiLevelType w:val="hybridMultilevel"/>
    <w:tmpl w:val="EB0A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360A87"/>
    <w:multiLevelType w:val="hybridMultilevel"/>
    <w:tmpl w:val="0AC22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92877E7"/>
    <w:multiLevelType w:val="hybridMultilevel"/>
    <w:tmpl w:val="79D0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2963D3"/>
    <w:multiLevelType w:val="hybridMultilevel"/>
    <w:tmpl w:val="BE462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BA84CAD"/>
    <w:multiLevelType w:val="hybridMultilevel"/>
    <w:tmpl w:val="96A830AA"/>
    <w:lvl w:ilvl="0" w:tplc="FC80748C">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382A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F8A4E26"/>
    <w:multiLevelType w:val="hybridMultilevel"/>
    <w:tmpl w:val="7E8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5C448B"/>
    <w:multiLevelType w:val="hybridMultilevel"/>
    <w:tmpl w:val="A6F82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38F0DDE"/>
    <w:multiLevelType w:val="hybridMultilevel"/>
    <w:tmpl w:val="68202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7264F1"/>
    <w:multiLevelType w:val="multilevel"/>
    <w:tmpl w:val="91420984"/>
    <w:lvl w:ilvl="0">
      <w:start w:val="1"/>
      <w:numFmt w:val="decimal"/>
      <w:pStyle w:val="Style1"/>
      <w:lvlText w:val="%1."/>
      <w:lvlJc w:val="left"/>
      <w:pPr>
        <w:ind w:left="360" w:hanging="360"/>
      </w:pPr>
      <w:rPr>
        <w:rFonts w:hint="default"/>
      </w:rPr>
    </w:lvl>
    <w:lvl w:ilvl="1">
      <w:start w:val="1"/>
      <w:numFmt w:val="decimal"/>
      <w:pStyle w:val="Styl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484A094E"/>
    <w:multiLevelType w:val="hybridMultilevel"/>
    <w:tmpl w:val="31F2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7F4DCE"/>
    <w:multiLevelType w:val="hybridMultilevel"/>
    <w:tmpl w:val="13EA6186"/>
    <w:lvl w:ilvl="0" w:tplc="86D2AB8E">
      <w:start w:val="1"/>
      <w:numFmt w:val="bullet"/>
      <w:lvlText w:val="-"/>
      <w:lvlJc w:val="left"/>
      <w:pPr>
        <w:ind w:left="720" w:hanging="360"/>
      </w:pPr>
      <w:rPr>
        <w:rFonts w:ascii="Calibri" w:eastAsiaTheme="minorEastAsia"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B900AF4"/>
    <w:multiLevelType w:val="hybridMultilevel"/>
    <w:tmpl w:val="83EC6236"/>
    <w:lvl w:ilvl="0" w:tplc="FC80748C">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E21779"/>
    <w:multiLevelType w:val="hybridMultilevel"/>
    <w:tmpl w:val="50B8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B5439B"/>
    <w:multiLevelType w:val="hybridMultilevel"/>
    <w:tmpl w:val="A2CAADD6"/>
    <w:lvl w:ilvl="0" w:tplc="D5B4F752">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55F84185"/>
    <w:multiLevelType w:val="hybridMultilevel"/>
    <w:tmpl w:val="9F5AE742"/>
    <w:lvl w:ilvl="0" w:tplc="FC80748C">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A74D67"/>
    <w:multiLevelType w:val="hybridMultilevel"/>
    <w:tmpl w:val="2F4CE70E"/>
    <w:lvl w:ilvl="0" w:tplc="56BC028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1F4556"/>
    <w:multiLevelType w:val="hybridMultilevel"/>
    <w:tmpl w:val="8A4C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442D25"/>
    <w:multiLevelType w:val="hybridMultilevel"/>
    <w:tmpl w:val="618A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2C50D9"/>
    <w:multiLevelType w:val="hybridMultilevel"/>
    <w:tmpl w:val="D696F1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5549EF"/>
    <w:multiLevelType w:val="hybridMultilevel"/>
    <w:tmpl w:val="338A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116DC5"/>
    <w:multiLevelType w:val="hybridMultilevel"/>
    <w:tmpl w:val="B5B0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220544"/>
    <w:multiLevelType w:val="hybridMultilevel"/>
    <w:tmpl w:val="80BADEE4"/>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B363B5C"/>
    <w:multiLevelType w:val="multilevel"/>
    <w:tmpl w:val="4EF0C718"/>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nsid w:val="6F9338C0"/>
    <w:multiLevelType w:val="hybridMultilevel"/>
    <w:tmpl w:val="9F62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F635A4"/>
    <w:multiLevelType w:val="hybridMultilevel"/>
    <w:tmpl w:val="413E43BC"/>
    <w:lvl w:ilvl="0" w:tplc="040C0001">
      <w:start w:val="1"/>
      <w:numFmt w:val="bullet"/>
      <w:lvlText w:val=""/>
      <w:lvlJc w:val="left"/>
      <w:pPr>
        <w:ind w:left="720" w:hanging="360"/>
      </w:pPr>
      <w:rPr>
        <w:rFonts w:ascii="Symbol" w:hAnsi="Symbol"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626635B"/>
    <w:multiLevelType w:val="hybridMultilevel"/>
    <w:tmpl w:val="D674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8E3E82"/>
    <w:multiLevelType w:val="hybridMultilevel"/>
    <w:tmpl w:val="91EA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BB34FD5"/>
    <w:multiLevelType w:val="hybridMultilevel"/>
    <w:tmpl w:val="BA3C1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5E653E"/>
    <w:multiLevelType w:val="hybridMultilevel"/>
    <w:tmpl w:val="77823062"/>
    <w:lvl w:ilvl="0" w:tplc="FC80748C">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4"/>
  </w:num>
  <w:num w:numId="4">
    <w:abstractNumId w:val="34"/>
  </w:num>
  <w:num w:numId="5">
    <w:abstractNumId w:val="37"/>
  </w:num>
  <w:num w:numId="6">
    <w:abstractNumId w:val="21"/>
  </w:num>
  <w:num w:numId="7">
    <w:abstractNumId w:val="26"/>
  </w:num>
  <w:num w:numId="8">
    <w:abstractNumId w:val="11"/>
  </w:num>
  <w:num w:numId="9">
    <w:abstractNumId w:val="5"/>
  </w:num>
  <w:num w:numId="10">
    <w:abstractNumId w:val="4"/>
  </w:num>
  <w:num w:numId="11">
    <w:abstractNumId w:val="8"/>
  </w:num>
  <w:num w:numId="12">
    <w:abstractNumId w:val="40"/>
  </w:num>
  <w:num w:numId="13">
    <w:abstractNumId w:val="15"/>
  </w:num>
  <w:num w:numId="14">
    <w:abstractNumId w:val="13"/>
  </w:num>
  <w:num w:numId="15">
    <w:abstractNumId w:val="10"/>
  </w:num>
  <w:num w:numId="16">
    <w:abstractNumId w:val="16"/>
  </w:num>
  <w:num w:numId="17">
    <w:abstractNumId w:val="41"/>
  </w:num>
  <w:num w:numId="18">
    <w:abstractNumId w:val="30"/>
  </w:num>
  <w:num w:numId="19">
    <w:abstractNumId w:val="23"/>
  </w:num>
  <w:num w:numId="20">
    <w:abstractNumId w:val="14"/>
  </w:num>
  <w:num w:numId="21">
    <w:abstractNumId w:val="20"/>
  </w:num>
  <w:num w:numId="22">
    <w:abstractNumId w:val="9"/>
  </w:num>
  <w:num w:numId="23">
    <w:abstractNumId w:val="38"/>
  </w:num>
  <w:num w:numId="24">
    <w:abstractNumId w:val="7"/>
  </w:num>
  <w:num w:numId="25">
    <w:abstractNumId w:val="12"/>
  </w:num>
  <w:num w:numId="26">
    <w:abstractNumId w:val="18"/>
  </w:num>
  <w:num w:numId="27">
    <w:abstractNumId w:val="19"/>
  </w:num>
  <w:num w:numId="28">
    <w:abstractNumId w:val="1"/>
  </w:num>
  <w:num w:numId="29">
    <w:abstractNumId w:val="3"/>
  </w:num>
  <w:num w:numId="30">
    <w:abstractNumId w:val="36"/>
  </w:num>
  <w:num w:numId="31">
    <w:abstractNumId w:val="33"/>
  </w:num>
  <w:num w:numId="32">
    <w:abstractNumId w:val="22"/>
  </w:num>
  <w:num w:numId="33">
    <w:abstractNumId w:val="29"/>
  </w:num>
  <w:num w:numId="34">
    <w:abstractNumId w:val="27"/>
  </w:num>
  <w:num w:numId="35">
    <w:abstractNumId w:val="32"/>
  </w:num>
  <w:num w:numId="36">
    <w:abstractNumId w:val="39"/>
  </w:num>
  <w:num w:numId="37">
    <w:abstractNumId w:val="17"/>
  </w:num>
  <w:num w:numId="38">
    <w:abstractNumId w:val="6"/>
  </w:num>
  <w:num w:numId="39">
    <w:abstractNumId w:val="35"/>
  </w:num>
  <w:num w:numId="40">
    <w:abstractNumId w:val="28"/>
  </w:num>
  <w:num w:numId="41">
    <w:abstractNumId w:val="25"/>
  </w:num>
  <w:num w:numId="4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7A"/>
    <w:rsid w:val="0000615F"/>
    <w:rsid w:val="00030E4D"/>
    <w:rsid w:val="000336A3"/>
    <w:rsid w:val="00041A5C"/>
    <w:rsid w:val="00047EA5"/>
    <w:rsid w:val="00067C2F"/>
    <w:rsid w:val="000821BC"/>
    <w:rsid w:val="00086BD3"/>
    <w:rsid w:val="000915A1"/>
    <w:rsid w:val="00097963"/>
    <w:rsid w:val="00097AE2"/>
    <w:rsid w:val="000A42EA"/>
    <w:rsid w:val="000B006E"/>
    <w:rsid w:val="000B4751"/>
    <w:rsid w:val="000B4CC1"/>
    <w:rsid w:val="000B624C"/>
    <w:rsid w:val="000C0D5A"/>
    <w:rsid w:val="000C1CF3"/>
    <w:rsid w:val="000C6C6E"/>
    <w:rsid w:val="000F4DA1"/>
    <w:rsid w:val="00124723"/>
    <w:rsid w:val="00126392"/>
    <w:rsid w:val="0013306C"/>
    <w:rsid w:val="00134AFC"/>
    <w:rsid w:val="00141BE5"/>
    <w:rsid w:val="001446AA"/>
    <w:rsid w:val="00155451"/>
    <w:rsid w:val="001575EE"/>
    <w:rsid w:val="001707E6"/>
    <w:rsid w:val="001714D0"/>
    <w:rsid w:val="00172D6D"/>
    <w:rsid w:val="00172FBD"/>
    <w:rsid w:val="001854A7"/>
    <w:rsid w:val="001945B8"/>
    <w:rsid w:val="001B0E2F"/>
    <w:rsid w:val="001B39EE"/>
    <w:rsid w:val="001B5580"/>
    <w:rsid w:val="001C1D9D"/>
    <w:rsid w:val="001E6ECE"/>
    <w:rsid w:val="001F7836"/>
    <w:rsid w:val="0020646E"/>
    <w:rsid w:val="002079A3"/>
    <w:rsid w:val="00207ED9"/>
    <w:rsid w:val="0021030C"/>
    <w:rsid w:val="002131D3"/>
    <w:rsid w:val="00232BC2"/>
    <w:rsid w:val="00241493"/>
    <w:rsid w:val="002422E2"/>
    <w:rsid w:val="00251C9F"/>
    <w:rsid w:val="00261BC8"/>
    <w:rsid w:val="00265893"/>
    <w:rsid w:val="0027088C"/>
    <w:rsid w:val="002733F2"/>
    <w:rsid w:val="00275DA3"/>
    <w:rsid w:val="00276357"/>
    <w:rsid w:val="002771C2"/>
    <w:rsid w:val="00277A24"/>
    <w:rsid w:val="002967DB"/>
    <w:rsid w:val="002B1B6D"/>
    <w:rsid w:val="002B431E"/>
    <w:rsid w:val="002C5484"/>
    <w:rsid w:val="002C6B9E"/>
    <w:rsid w:val="002D046E"/>
    <w:rsid w:val="002E3591"/>
    <w:rsid w:val="002E423E"/>
    <w:rsid w:val="002E5BD9"/>
    <w:rsid w:val="002F0851"/>
    <w:rsid w:val="002F280C"/>
    <w:rsid w:val="0031608D"/>
    <w:rsid w:val="00316838"/>
    <w:rsid w:val="0032709D"/>
    <w:rsid w:val="00331EEF"/>
    <w:rsid w:val="0033624C"/>
    <w:rsid w:val="00340DB1"/>
    <w:rsid w:val="0034333D"/>
    <w:rsid w:val="00347792"/>
    <w:rsid w:val="0035441D"/>
    <w:rsid w:val="00360C06"/>
    <w:rsid w:val="00363005"/>
    <w:rsid w:val="003705D8"/>
    <w:rsid w:val="003706CE"/>
    <w:rsid w:val="00371BA1"/>
    <w:rsid w:val="00377ED9"/>
    <w:rsid w:val="00380307"/>
    <w:rsid w:val="003876F8"/>
    <w:rsid w:val="003976D8"/>
    <w:rsid w:val="003A39C3"/>
    <w:rsid w:val="003A7F25"/>
    <w:rsid w:val="003B2E46"/>
    <w:rsid w:val="003C6B1C"/>
    <w:rsid w:val="003C6FC8"/>
    <w:rsid w:val="003D6332"/>
    <w:rsid w:val="003E18CD"/>
    <w:rsid w:val="003E6C49"/>
    <w:rsid w:val="003F2374"/>
    <w:rsid w:val="003F5682"/>
    <w:rsid w:val="00401DF2"/>
    <w:rsid w:val="00406DA3"/>
    <w:rsid w:val="00407B11"/>
    <w:rsid w:val="0043236F"/>
    <w:rsid w:val="004506A9"/>
    <w:rsid w:val="00456E06"/>
    <w:rsid w:val="00457D8A"/>
    <w:rsid w:val="00472CDE"/>
    <w:rsid w:val="00474D7A"/>
    <w:rsid w:val="00495CE9"/>
    <w:rsid w:val="004A73A9"/>
    <w:rsid w:val="004B063F"/>
    <w:rsid w:val="004B1EBC"/>
    <w:rsid w:val="004E2252"/>
    <w:rsid w:val="004E791D"/>
    <w:rsid w:val="005057B9"/>
    <w:rsid w:val="0050793C"/>
    <w:rsid w:val="0051045E"/>
    <w:rsid w:val="00515F21"/>
    <w:rsid w:val="0052109D"/>
    <w:rsid w:val="00521193"/>
    <w:rsid w:val="0052572A"/>
    <w:rsid w:val="00547733"/>
    <w:rsid w:val="005540E7"/>
    <w:rsid w:val="00555D3C"/>
    <w:rsid w:val="005730C0"/>
    <w:rsid w:val="005813ED"/>
    <w:rsid w:val="005A1894"/>
    <w:rsid w:val="005B4743"/>
    <w:rsid w:val="005C4B55"/>
    <w:rsid w:val="005D264E"/>
    <w:rsid w:val="005D2BC6"/>
    <w:rsid w:val="005D57CC"/>
    <w:rsid w:val="005E2DCC"/>
    <w:rsid w:val="005E3F6B"/>
    <w:rsid w:val="005E5C75"/>
    <w:rsid w:val="0060767D"/>
    <w:rsid w:val="0061078F"/>
    <w:rsid w:val="00611D64"/>
    <w:rsid w:val="006205A8"/>
    <w:rsid w:val="00622233"/>
    <w:rsid w:val="006251BF"/>
    <w:rsid w:val="006263E0"/>
    <w:rsid w:val="00631137"/>
    <w:rsid w:val="00633884"/>
    <w:rsid w:val="00660D9F"/>
    <w:rsid w:val="00664311"/>
    <w:rsid w:val="00671B69"/>
    <w:rsid w:val="00682FE2"/>
    <w:rsid w:val="00691560"/>
    <w:rsid w:val="006915FB"/>
    <w:rsid w:val="006940C9"/>
    <w:rsid w:val="006A2DF3"/>
    <w:rsid w:val="006B29AA"/>
    <w:rsid w:val="006B5241"/>
    <w:rsid w:val="006F7FCE"/>
    <w:rsid w:val="00702BC0"/>
    <w:rsid w:val="0071002B"/>
    <w:rsid w:val="00710956"/>
    <w:rsid w:val="00711BE8"/>
    <w:rsid w:val="0071265F"/>
    <w:rsid w:val="00723A58"/>
    <w:rsid w:val="00723BD3"/>
    <w:rsid w:val="00745B44"/>
    <w:rsid w:val="0074704D"/>
    <w:rsid w:val="0074742F"/>
    <w:rsid w:val="00751745"/>
    <w:rsid w:val="00770D01"/>
    <w:rsid w:val="00787E8D"/>
    <w:rsid w:val="00787F35"/>
    <w:rsid w:val="00794272"/>
    <w:rsid w:val="00794B58"/>
    <w:rsid w:val="007A268F"/>
    <w:rsid w:val="007A7055"/>
    <w:rsid w:val="007B627B"/>
    <w:rsid w:val="007D2CC2"/>
    <w:rsid w:val="007E03A0"/>
    <w:rsid w:val="007E6D61"/>
    <w:rsid w:val="00812CB7"/>
    <w:rsid w:val="008167E1"/>
    <w:rsid w:val="00826F5A"/>
    <w:rsid w:val="00831C1D"/>
    <w:rsid w:val="00837E89"/>
    <w:rsid w:val="00863570"/>
    <w:rsid w:val="00865008"/>
    <w:rsid w:val="0089730C"/>
    <w:rsid w:val="00897B52"/>
    <w:rsid w:val="008A3D6E"/>
    <w:rsid w:val="008A4BB0"/>
    <w:rsid w:val="008B31DD"/>
    <w:rsid w:val="008B3C15"/>
    <w:rsid w:val="008C5D1C"/>
    <w:rsid w:val="008C6A05"/>
    <w:rsid w:val="008E0B85"/>
    <w:rsid w:val="008E5F43"/>
    <w:rsid w:val="008F2603"/>
    <w:rsid w:val="008F4C32"/>
    <w:rsid w:val="00924269"/>
    <w:rsid w:val="009244E1"/>
    <w:rsid w:val="00924E8A"/>
    <w:rsid w:val="00926120"/>
    <w:rsid w:val="00945CC8"/>
    <w:rsid w:val="00950E90"/>
    <w:rsid w:val="00952D49"/>
    <w:rsid w:val="00953D31"/>
    <w:rsid w:val="009567D6"/>
    <w:rsid w:val="009612D0"/>
    <w:rsid w:val="00972634"/>
    <w:rsid w:val="00987660"/>
    <w:rsid w:val="00987A64"/>
    <w:rsid w:val="009944F1"/>
    <w:rsid w:val="009978DB"/>
    <w:rsid w:val="009A40DB"/>
    <w:rsid w:val="009B7E42"/>
    <w:rsid w:val="009C333E"/>
    <w:rsid w:val="009D2907"/>
    <w:rsid w:val="009F427E"/>
    <w:rsid w:val="009F5FDF"/>
    <w:rsid w:val="009F7D2E"/>
    <w:rsid w:val="00A041CD"/>
    <w:rsid w:val="00A10BFB"/>
    <w:rsid w:val="00A13C13"/>
    <w:rsid w:val="00A24B4F"/>
    <w:rsid w:val="00A24EA2"/>
    <w:rsid w:val="00A25F38"/>
    <w:rsid w:val="00A27F51"/>
    <w:rsid w:val="00A33ABD"/>
    <w:rsid w:val="00A517CC"/>
    <w:rsid w:val="00A635AE"/>
    <w:rsid w:val="00A67EED"/>
    <w:rsid w:val="00A749A0"/>
    <w:rsid w:val="00A74A9B"/>
    <w:rsid w:val="00A85697"/>
    <w:rsid w:val="00A9197A"/>
    <w:rsid w:val="00A93D23"/>
    <w:rsid w:val="00AB3A62"/>
    <w:rsid w:val="00AC6766"/>
    <w:rsid w:val="00AD623D"/>
    <w:rsid w:val="00B02316"/>
    <w:rsid w:val="00B133F2"/>
    <w:rsid w:val="00B3332D"/>
    <w:rsid w:val="00B34495"/>
    <w:rsid w:val="00B35FA9"/>
    <w:rsid w:val="00B35FF5"/>
    <w:rsid w:val="00B500EA"/>
    <w:rsid w:val="00B565EC"/>
    <w:rsid w:val="00B60EDB"/>
    <w:rsid w:val="00B632F8"/>
    <w:rsid w:val="00B6775B"/>
    <w:rsid w:val="00B86D69"/>
    <w:rsid w:val="00B91554"/>
    <w:rsid w:val="00B950E6"/>
    <w:rsid w:val="00BA114C"/>
    <w:rsid w:val="00BA5ED6"/>
    <w:rsid w:val="00BC2FFD"/>
    <w:rsid w:val="00BC3D1D"/>
    <w:rsid w:val="00BC5023"/>
    <w:rsid w:val="00BC5AED"/>
    <w:rsid w:val="00BD3DC7"/>
    <w:rsid w:val="00BF1B37"/>
    <w:rsid w:val="00BF2ADE"/>
    <w:rsid w:val="00C2571B"/>
    <w:rsid w:val="00C33C32"/>
    <w:rsid w:val="00C34A5A"/>
    <w:rsid w:val="00C4012E"/>
    <w:rsid w:val="00C41B70"/>
    <w:rsid w:val="00C45DAF"/>
    <w:rsid w:val="00C60E0F"/>
    <w:rsid w:val="00C8085F"/>
    <w:rsid w:val="00C9222F"/>
    <w:rsid w:val="00CA3C44"/>
    <w:rsid w:val="00CA5A41"/>
    <w:rsid w:val="00CB0F7B"/>
    <w:rsid w:val="00CB52F7"/>
    <w:rsid w:val="00CC001D"/>
    <w:rsid w:val="00CC376C"/>
    <w:rsid w:val="00CC51D7"/>
    <w:rsid w:val="00CC573B"/>
    <w:rsid w:val="00CC59A2"/>
    <w:rsid w:val="00CC6EA1"/>
    <w:rsid w:val="00CD1E62"/>
    <w:rsid w:val="00CD2303"/>
    <w:rsid w:val="00CD4482"/>
    <w:rsid w:val="00CD486E"/>
    <w:rsid w:val="00CE7B63"/>
    <w:rsid w:val="00D00082"/>
    <w:rsid w:val="00D00458"/>
    <w:rsid w:val="00D027CA"/>
    <w:rsid w:val="00D10966"/>
    <w:rsid w:val="00D118E2"/>
    <w:rsid w:val="00D209E9"/>
    <w:rsid w:val="00D251B3"/>
    <w:rsid w:val="00D33B8E"/>
    <w:rsid w:val="00D33CE5"/>
    <w:rsid w:val="00D4436A"/>
    <w:rsid w:val="00D47B5B"/>
    <w:rsid w:val="00D50A3A"/>
    <w:rsid w:val="00D57777"/>
    <w:rsid w:val="00D70208"/>
    <w:rsid w:val="00D73219"/>
    <w:rsid w:val="00D7371E"/>
    <w:rsid w:val="00D760D3"/>
    <w:rsid w:val="00D83A7B"/>
    <w:rsid w:val="00D93A28"/>
    <w:rsid w:val="00DA5912"/>
    <w:rsid w:val="00DB4FA2"/>
    <w:rsid w:val="00DC3B2E"/>
    <w:rsid w:val="00DC67EC"/>
    <w:rsid w:val="00DC6DCA"/>
    <w:rsid w:val="00DD1A15"/>
    <w:rsid w:val="00DE5411"/>
    <w:rsid w:val="00DF2B1B"/>
    <w:rsid w:val="00E0025F"/>
    <w:rsid w:val="00E2129C"/>
    <w:rsid w:val="00E213CA"/>
    <w:rsid w:val="00E240F8"/>
    <w:rsid w:val="00E30137"/>
    <w:rsid w:val="00E34380"/>
    <w:rsid w:val="00E361C6"/>
    <w:rsid w:val="00E36BFF"/>
    <w:rsid w:val="00E37564"/>
    <w:rsid w:val="00E4117E"/>
    <w:rsid w:val="00E41AF0"/>
    <w:rsid w:val="00E61885"/>
    <w:rsid w:val="00E64C4D"/>
    <w:rsid w:val="00E65FE0"/>
    <w:rsid w:val="00E7014C"/>
    <w:rsid w:val="00EA1743"/>
    <w:rsid w:val="00EB3A03"/>
    <w:rsid w:val="00EC4485"/>
    <w:rsid w:val="00ED19D2"/>
    <w:rsid w:val="00ED1C97"/>
    <w:rsid w:val="00EE0CE5"/>
    <w:rsid w:val="00EE7C84"/>
    <w:rsid w:val="00EF0731"/>
    <w:rsid w:val="00EF163F"/>
    <w:rsid w:val="00EF4025"/>
    <w:rsid w:val="00EF539A"/>
    <w:rsid w:val="00F11125"/>
    <w:rsid w:val="00F1451B"/>
    <w:rsid w:val="00F26523"/>
    <w:rsid w:val="00F27A43"/>
    <w:rsid w:val="00F27F5C"/>
    <w:rsid w:val="00F34FC7"/>
    <w:rsid w:val="00F461A3"/>
    <w:rsid w:val="00F475FF"/>
    <w:rsid w:val="00F645FE"/>
    <w:rsid w:val="00F65272"/>
    <w:rsid w:val="00F65EDC"/>
    <w:rsid w:val="00F708CF"/>
    <w:rsid w:val="00F752C0"/>
    <w:rsid w:val="00F801DD"/>
    <w:rsid w:val="00F94D84"/>
    <w:rsid w:val="00FA3637"/>
    <w:rsid w:val="00FA6363"/>
    <w:rsid w:val="00FB099D"/>
    <w:rsid w:val="00FB5D41"/>
    <w:rsid w:val="00FB66F2"/>
    <w:rsid w:val="00FD7596"/>
    <w:rsid w:val="00FD7996"/>
    <w:rsid w:val="00FE0870"/>
    <w:rsid w:val="00FE6787"/>
    <w:rsid w:val="00FF187C"/>
    <w:rsid w:val="00FF73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63"/>
    <w:pPr>
      <w:spacing w:line="360" w:lineRule="auto"/>
    </w:pPr>
    <w:rPr>
      <w:rFonts w:eastAsiaTheme="minorEastAsia"/>
      <w:color w:val="404040" w:themeColor="text1" w:themeTint="BF"/>
      <w:sz w:val="24"/>
      <w:lang w:val="en-GB" w:eastAsia="fr-BE"/>
    </w:rPr>
  </w:style>
  <w:style w:type="paragraph" w:styleId="Heading1">
    <w:name w:val="heading 1"/>
    <w:basedOn w:val="Normal"/>
    <w:next w:val="Normal"/>
    <w:link w:val="Heading1Char"/>
    <w:autoRedefine/>
    <w:qFormat/>
    <w:rsid w:val="0000615F"/>
    <w:pPr>
      <w:keepNext/>
      <w:keepLines/>
      <w:spacing w:before="20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D73219"/>
    <w:pPr>
      <w:keepNext/>
      <w:keepLines/>
      <w:spacing w:after="0" w:line="240" w:lineRule="auto"/>
      <w:ind w:left="708"/>
      <w:outlineLvl w:val="1"/>
    </w:pPr>
    <w:rPr>
      <w:rFonts w:asciiTheme="majorHAnsi" w:eastAsiaTheme="majorEastAsia" w:hAnsiTheme="majorHAnsi" w:cstheme="majorBidi"/>
      <w:b/>
      <w:bCs/>
      <w:color w:val="365F91" w:themeColor="accent1" w:themeShade="BF"/>
      <w:sz w:val="26"/>
      <w:szCs w:val="26"/>
    </w:rPr>
  </w:style>
  <w:style w:type="paragraph" w:styleId="Heading5">
    <w:name w:val="heading 5"/>
    <w:basedOn w:val="Normal"/>
    <w:next w:val="Normal"/>
    <w:link w:val="Heading5Char"/>
    <w:qFormat/>
    <w:rsid w:val="00B6775B"/>
    <w:pPr>
      <w:keepNext/>
      <w:keepLines/>
      <w:spacing w:before="200" w:after="0" w:line="240" w:lineRule="auto"/>
      <w:outlineLvl w:val="4"/>
    </w:pPr>
    <w:rPr>
      <w:rFonts w:ascii="Calibri" w:eastAsia="MS Gothic" w:hAnsi="Calibri"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D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D7A"/>
    <w:rPr>
      <w:lang w:val="en-GB"/>
    </w:rPr>
  </w:style>
  <w:style w:type="paragraph" w:styleId="Footer">
    <w:name w:val="footer"/>
    <w:basedOn w:val="Normal"/>
    <w:link w:val="FooterChar"/>
    <w:uiPriority w:val="99"/>
    <w:unhideWhenUsed/>
    <w:rsid w:val="00474D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D7A"/>
    <w:rPr>
      <w:lang w:val="en-GB"/>
    </w:rPr>
  </w:style>
  <w:style w:type="paragraph" w:customStyle="1" w:styleId="nospacing">
    <w:name w:val="nospacing"/>
    <w:basedOn w:val="Normal"/>
    <w:rsid w:val="00474D7A"/>
    <w:pPr>
      <w:spacing w:before="100" w:beforeAutospacing="1" w:after="100" w:afterAutospacing="1" w:line="240" w:lineRule="auto"/>
    </w:pPr>
    <w:rPr>
      <w:rFonts w:ascii="Times New Roman" w:eastAsia="Calibri" w:hAnsi="Times New Roman" w:cs="Times New Roman"/>
      <w:szCs w:val="24"/>
      <w:lang w:val="en-US"/>
    </w:rPr>
  </w:style>
  <w:style w:type="character" w:styleId="Hyperlink">
    <w:name w:val="Hyperlink"/>
    <w:basedOn w:val="DefaultParagraphFont"/>
    <w:uiPriority w:val="99"/>
    <w:unhideWhenUsed/>
    <w:rsid w:val="002079A3"/>
    <w:rPr>
      <w:color w:val="0000FF" w:themeColor="hyperlink"/>
      <w:u w:val="single"/>
    </w:rPr>
  </w:style>
  <w:style w:type="paragraph" w:styleId="BalloonText">
    <w:name w:val="Balloon Text"/>
    <w:basedOn w:val="Normal"/>
    <w:link w:val="BalloonTextChar"/>
    <w:uiPriority w:val="99"/>
    <w:semiHidden/>
    <w:unhideWhenUsed/>
    <w:rsid w:val="0009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A1"/>
    <w:rPr>
      <w:rFonts w:ascii="Tahoma" w:hAnsi="Tahoma" w:cs="Tahoma"/>
      <w:sz w:val="16"/>
      <w:szCs w:val="16"/>
      <w:lang w:val="en-GB"/>
    </w:rPr>
  </w:style>
  <w:style w:type="character" w:customStyle="1" w:styleId="Heading5Char">
    <w:name w:val="Heading 5 Char"/>
    <w:basedOn w:val="DefaultParagraphFont"/>
    <w:link w:val="Heading5"/>
    <w:rsid w:val="00B6775B"/>
    <w:rPr>
      <w:rFonts w:ascii="Calibri" w:eastAsia="MS Gothic" w:hAnsi="Calibri" w:cs="Times New Roman"/>
      <w:color w:val="243F60"/>
      <w:sz w:val="20"/>
      <w:szCs w:val="20"/>
    </w:rPr>
  </w:style>
  <w:style w:type="character" w:styleId="CommentReference">
    <w:name w:val="annotation reference"/>
    <w:basedOn w:val="DefaultParagraphFont"/>
    <w:uiPriority w:val="99"/>
    <w:semiHidden/>
    <w:unhideWhenUsed/>
    <w:rsid w:val="000B624C"/>
    <w:rPr>
      <w:sz w:val="16"/>
      <w:szCs w:val="16"/>
    </w:rPr>
  </w:style>
  <w:style w:type="paragraph" w:styleId="CommentText">
    <w:name w:val="annotation text"/>
    <w:basedOn w:val="Normal"/>
    <w:link w:val="CommentTextChar"/>
    <w:uiPriority w:val="99"/>
    <w:semiHidden/>
    <w:unhideWhenUsed/>
    <w:rsid w:val="000B624C"/>
    <w:pPr>
      <w:spacing w:line="240" w:lineRule="auto"/>
    </w:pPr>
    <w:rPr>
      <w:sz w:val="20"/>
      <w:szCs w:val="20"/>
    </w:rPr>
  </w:style>
  <w:style w:type="character" w:customStyle="1" w:styleId="CommentTextChar">
    <w:name w:val="Comment Text Char"/>
    <w:basedOn w:val="DefaultParagraphFont"/>
    <w:link w:val="CommentText"/>
    <w:uiPriority w:val="99"/>
    <w:semiHidden/>
    <w:rsid w:val="000B624C"/>
    <w:rPr>
      <w:sz w:val="20"/>
      <w:szCs w:val="20"/>
      <w:lang w:val="en-GB"/>
    </w:rPr>
  </w:style>
  <w:style w:type="paragraph" w:styleId="CommentSubject">
    <w:name w:val="annotation subject"/>
    <w:basedOn w:val="CommentText"/>
    <w:next w:val="CommentText"/>
    <w:link w:val="CommentSubjectChar"/>
    <w:uiPriority w:val="99"/>
    <w:semiHidden/>
    <w:unhideWhenUsed/>
    <w:rsid w:val="000B624C"/>
    <w:rPr>
      <w:b/>
      <w:bCs/>
    </w:rPr>
  </w:style>
  <w:style w:type="character" w:customStyle="1" w:styleId="CommentSubjectChar">
    <w:name w:val="Comment Subject Char"/>
    <w:basedOn w:val="CommentTextChar"/>
    <w:link w:val="CommentSubject"/>
    <w:uiPriority w:val="99"/>
    <w:semiHidden/>
    <w:rsid w:val="000B624C"/>
    <w:rPr>
      <w:b/>
      <w:bCs/>
      <w:sz w:val="20"/>
      <w:szCs w:val="20"/>
      <w:lang w:val="en-GB"/>
    </w:rPr>
  </w:style>
  <w:style w:type="paragraph" w:styleId="Revision">
    <w:name w:val="Revision"/>
    <w:hidden/>
    <w:uiPriority w:val="99"/>
    <w:semiHidden/>
    <w:rsid w:val="002733F2"/>
    <w:pPr>
      <w:spacing w:after="0" w:line="240" w:lineRule="auto"/>
    </w:pPr>
    <w:rPr>
      <w:lang w:val="en-GB"/>
    </w:rPr>
  </w:style>
  <w:style w:type="character" w:customStyle="1" w:styleId="Heading1Char">
    <w:name w:val="Heading 1 Char"/>
    <w:basedOn w:val="DefaultParagraphFont"/>
    <w:link w:val="Heading1"/>
    <w:rsid w:val="0000615F"/>
    <w:rPr>
      <w:rFonts w:asciiTheme="majorHAnsi" w:eastAsiaTheme="majorEastAsia" w:hAnsiTheme="majorHAnsi" w:cstheme="majorBidi"/>
      <w:b/>
      <w:bCs/>
      <w:color w:val="365F91" w:themeColor="accent1" w:themeShade="BF"/>
      <w:sz w:val="28"/>
      <w:szCs w:val="28"/>
      <w:lang w:val="en-GB" w:eastAsia="fr-BE"/>
    </w:rPr>
  </w:style>
  <w:style w:type="character" w:styleId="PlaceholderText">
    <w:name w:val="Placeholder Text"/>
    <w:basedOn w:val="DefaultParagraphFont"/>
    <w:uiPriority w:val="99"/>
    <w:semiHidden/>
    <w:rsid w:val="00A25F38"/>
    <w:rPr>
      <w:color w:val="808080"/>
    </w:rPr>
  </w:style>
  <w:style w:type="character" w:customStyle="1" w:styleId="Heading2Char">
    <w:name w:val="Heading 2 Char"/>
    <w:basedOn w:val="DefaultParagraphFont"/>
    <w:link w:val="Heading2"/>
    <w:uiPriority w:val="9"/>
    <w:rsid w:val="00D73219"/>
    <w:rPr>
      <w:rFonts w:asciiTheme="majorHAnsi" w:eastAsiaTheme="majorEastAsia" w:hAnsiTheme="majorHAnsi" w:cstheme="majorBidi"/>
      <w:b/>
      <w:bCs/>
      <w:color w:val="365F91" w:themeColor="accent1" w:themeShade="BF"/>
      <w:sz w:val="26"/>
      <w:szCs w:val="26"/>
      <w:lang w:val="en-GB" w:eastAsia="fr-BE"/>
    </w:rPr>
  </w:style>
  <w:style w:type="paragraph" w:styleId="ListParagraph">
    <w:name w:val="List Paragraph"/>
    <w:basedOn w:val="Normal"/>
    <w:link w:val="ListParagraphChar"/>
    <w:autoRedefine/>
    <w:uiPriority w:val="34"/>
    <w:qFormat/>
    <w:rsid w:val="00E213CA"/>
    <w:pPr>
      <w:numPr>
        <w:numId w:val="40"/>
      </w:numPr>
      <w:spacing w:line="240" w:lineRule="auto"/>
      <w:contextualSpacing/>
    </w:pPr>
  </w:style>
  <w:style w:type="paragraph" w:styleId="ListBullet2">
    <w:name w:val="List Bullet 2"/>
    <w:basedOn w:val="Normal"/>
    <w:autoRedefine/>
    <w:rsid w:val="00A33ABD"/>
    <w:pPr>
      <w:numPr>
        <w:numId w:val="1"/>
      </w:numPr>
      <w:spacing w:after="0" w:line="240" w:lineRule="auto"/>
    </w:pPr>
    <w:rPr>
      <w:rFonts w:ascii="Times New Roman" w:eastAsia="Times New Roman" w:hAnsi="Times New Roman" w:cs="Times New Roman"/>
      <w:szCs w:val="24"/>
      <w:lang w:eastAsia="en-US"/>
    </w:rPr>
  </w:style>
  <w:style w:type="paragraph" w:styleId="NormalWeb">
    <w:name w:val="Normal (Web)"/>
    <w:basedOn w:val="Normal"/>
    <w:uiPriority w:val="99"/>
    <w:unhideWhenUsed/>
    <w:rsid w:val="00A33AB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semiHidden/>
    <w:unhideWhenUsed/>
    <w:qFormat/>
    <w:rsid w:val="00316838"/>
    <w:pPr>
      <w:outlineLvl w:val="9"/>
    </w:pPr>
    <w:rPr>
      <w:lang w:val="en-US" w:eastAsia="ja-JP"/>
    </w:rPr>
  </w:style>
  <w:style w:type="paragraph" w:styleId="TOC2">
    <w:name w:val="toc 2"/>
    <w:basedOn w:val="Normal"/>
    <w:next w:val="Normal"/>
    <w:autoRedefine/>
    <w:uiPriority w:val="39"/>
    <w:unhideWhenUsed/>
    <w:qFormat/>
    <w:rsid w:val="00316838"/>
    <w:pPr>
      <w:spacing w:after="100"/>
      <w:ind w:left="220"/>
    </w:pPr>
    <w:rPr>
      <w:lang w:val="en-US" w:eastAsia="ja-JP"/>
    </w:rPr>
  </w:style>
  <w:style w:type="paragraph" w:styleId="TOC1">
    <w:name w:val="toc 1"/>
    <w:basedOn w:val="Normal"/>
    <w:next w:val="Normal"/>
    <w:autoRedefine/>
    <w:uiPriority w:val="39"/>
    <w:unhideWhenUsed/>
    <w:qFormat/>
    <w:rsid w:val="00316838"/>
    <w:pPr>
      <w:spacing w:after="100"/>
    </w:pPr>
    <w:rPr>
      <w:lang w:val="en-US" w:eastAsia="ja-JP"/>
    </w:rPr>
  </w:style>
  <w:style w:type="paragraph" w:styleId="TOC3">
    <w:name w:val="toc 3"/>
    <w:basedOn w:val="Normal"/>
    <w:next w:val="Normal"/>
    <w:autoRedefine/>
    <w:uiPriority w:val="39"/>
    <w:semiHidden/>
    <w:unhideWhenUsed/>
    <w:qFormat/>
    <w:rsid w:val="00316838"/>
    <w:pPr>
      <w:spacing w:after="100"/>
      <w:ind w:left="440"/>
    </w:pPr>
    <w:rPr>
      <w:lang w:val="en-US" w:eastAsia="ja-JP"/>
    </w:rPr>
  </w:style>
  <w:style w:type="table" w:styleId="LightShading-Accent1">
    <w:name w:val="Light Shading Accent 1"/>
    <w:basedOn w:val="TableNormal"/>
    <w:uiPriority w:val="60"/>
    <w:rsid w:val="00837E89"/>
    <w:pPr>
      <w:spacing w:after="0" w:line="240" w:lineRule="auto"/>
    </w:pPr>
    <w:rPr>
      <w:rFonts w:eastAsiaTheme="minorEastAsia"/>
      <w:color w:val="365F91" w:themeColor="accent1" w:themeShade="BF"/>
      <w:lang w:eastAsia="fr-B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D2CC2"/>
    <w:pPr>
      <w:autoSpaceDE w:val="0"/>
      <w:autoSpaceDN w:val="0"/>
      <w:adjustRightInd w:val="0"/>
      <w:spacing w:after="0" w:line="240" w:lineRule="auto"/>
    </w:pPr>
    <w:rPr>
      <w:rFonts w:ascii="Symbol" w:hAnsi="Symbol" w:cs="Symbol"/>
      <w:color w:val="000000"/>
      <w:sz w:val="24"/>
      <w:szCs w:val="24"/>
    </w:rPr>
  </w:style>
  <w:style w:type="character" w:customStyle="1" w:styleId="ListParagraphChar">
    <w:name w:val="List Paragraph Char"/>
    <w:basedOn w:val="DefaultParagraphFont"/>
    <w:link w:val="ListParagraph"/>
    <w:uiPriority w:val="34"/>
    <w:rsid w:val="00E213CA"/>
    <w:rPr>
      <w:rFonts w:eastAsiaTheme="minorEastAsia"/>
      <w:color w:val="404040" w:themeColor="text1" w:themeTint="BF"/>
      <w:sz w:val="24"/>
      <w:lang w:val="en-GB" w:eastAsia="fr-BE"/>
    </w:rPr>
  </w:style>
  <w:style w:type="paragraph" w:styleId="FootnoteText">
    <w:name w:val="footnote text"/>
    <w:basedOn w:val="Normal"/>
    <w:link w:val="FootnoteTextChar"/>
    <w:uiPriority w:val="99"/>
    <w:semiHidden/>
    <w:unhideWhenUsed/>
    <w:rsid w:val="00D3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B8E"/>
    <w:rPr>
      <w:rFonts w:eastAsiaTheme="minorEastAsia"/>
      <w:sz w:val="20"/>
      <w:szCs w:val="20"/>
      <w:lang w:val="en-GB" w:eastAsia="fr-BE"/>
    </w:rPr>
  </w:style>
  <w:style w:type="character" w:styleId="FootnoteReference">
    <w:name w:val="footnote reference"/>
    <w:basedOn w:val="DefaultParagraphFont"/>
    <w:uiPriority w:val="99"/>
    <w:unhideWhenUsed/>
    <w:qFormat/>
    <w:rsid w:val="00D33B8E"/>
    <w:rPr>
      <w:vertAlign w:val="superscript"/>
    </w:rPr>
  </w:style>
  <w:style w:type="table" w:styleId="TableGrid">
    <w:name w:val="Table Grid"/>
    <w:basedOn w:val="TableNormal"/>
    <w:uiPriority w:val="59"/>
    <w:rsid w:val="005E2DCC"/>
    <w:pPr>
      <w:spacing w:after="0" w:line="240" w:lineRule="auto"/>
    </w:pPr>
    <w:rPr>
      <w:rFonts w:ascii="Calibri" w:eastAsia="Calibri" w:hAnsi="Calibri" w:cs="Times New Roman"/>
      <w:sz w:val="20"/>
      <w:szCs w:val="20"/>
      <w:lang w:val="hu-HU"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ListParagraph"/>
    <w:qFormat/>
    <w:rsid w:val="005E2DCC"/>
    <w:pPr>
      <w:numPr>
        <w:numId w:val="6"/>
      </w:numPr>
      <w:pBdr>
        <w:bottom w:val="single" w:sz="4" w:space="1" w:color="130B7B"/>
      </w:pBdr>
      <w:spacing w:after="0"/>
      <w:ind w:right="425"/>
    </w:pPr>
    <w:rPr>
      <w:rFonts w:ascii="Arial" w:hAnsi="Arial" w:cs="Arial"/>
      <w:b/>
      <w:color w:val="130B7B"/>
      <w:szCs w:val="24"/>
    </w:rPr>
  </w:style>
  <w:style w:type="paragraph" w:customStyle="1" w:styleId="Style2">
    <w:name w:val="Style2"/>
    <w:basedOn w:val="ListParagraph"/>
    <w:link w:val="Style2Char"/>
    <w:qFormat/>
    <w:rsid w:val="005E2DCC"/>
    <w:pPr>
      <w:numPr>
        <w:ilvl w:val="1"/>
        <w:numId w:val="6"/>
      </w:numPr>
      <w:spacing w:after="0"/>
    </w:pPr>
    <w:rPr>
      <w:rFonts w:ascii="Arial" w:hAnsi="Arial" w:cs="Arial"/>
      <w:b/>
    </w:rPr>
  </w:style>
  <w:style w:type="character" w:customStyle="1" w:styleId="Style2Char">
    <w:name w:val="Style2 Char"/>
    <w:basedOn w:val="ListParagraphChar"/>
    <w:link w:val="Style2"/>
    <w:rsid w:val="005E2DCC"/>
    <w:rPr>
      <w:rFonts w:ascii="Arial" w:eastAsiaTheme="minorEastAsia" w:hAnsi="Arial" w:cs="Arial"/>
      <w:b/>
      <w:color w:val="404040" w:themeColor="text1" w:themeTint="BF"/>
      <w:sz w:val="24"/>
      <w:lang w:val="en-GB" w:eastAsia="fr-BE"/>
    </w:rPr>
  </w:style>
  <w:style w:type="paragraph" w:styleId="Quote">
    <w:name w:val="Quote"/>
    <w:basedOn w:val="Normal"/>
    <w:next w:val="Normal"/>
    <w:link w:val="QuoteChar"/>
    <w:autoRedefine/>
    <w:uiPriority w:val="29"/>
    <w:qFormat/>
    <w:rsid w:val="0000615F"/>
    <w:rPr>
      <w:i/>
      <w:iCs/>
    </w:rPr>
  </w:style>
  <w:style w:type="character" w:customStyle="1" w:styleId="QuoteChar">
    <w:name w:val="Quote Char"/>
    <w:basedOn w:val="DefaultParagraphFont"/>
    <w:link w:val="Quote"/>
    <w:uiPriority w:val="29"/>
    <w:rsid w:val="0000615F"/>
    <w:rPr>
      <w:rFonts w:eastAsiaTheme="minorEastAsia"/>
      <w:i/>
      <w:iCs/>
      <w:color w:val="404040" w:themeColor="text1" w:themeTint="BF"/>
      <w:sz w:val="24"/>
      <w:lang w:val="en-GB" w:eastAsia="fr-BE"/>
    </w:rPr>
  </w:style>
  <w:style w:type="paragraph" w:styleId="Title">
    <w:name w:val="Title"/>
    <w:basedOn w:val="Normal"/>
    <w:next w:val="Normal"/>
    <w:link w:val="TitleChar"/>
    <w:autoRedefine/>
    <w:uiPriority w:val="10"/>
    <w:qFormat/>
    <w:rsid w:val="005813ED"/>
    <w:pPr>
      <w:pBdr>
        <w:bottom w:val="single" w:sz="8" w:space="4" w:color="4F81BD" w:themeColor="accent1"/>
      </w:pBdr>
      <w:spacing w:after="300" w:line="240" w:lineRule="auto"/>
      <w:ind w:left="360"/>
      <w:contextualSpacing/>
      <w:jc w:val="center"/>
    </w:pPr>
    <w:rPr>
      <w:rFonts w:asciiTheme="majorHAnsi" w:eastAsiaTheme="majorEastAsia" w:hAnsiTheme="majorHAnsi" w:cstheme="majorBidi"/>
      <w:b/>
      <w:color w:val="365F91" w:themeColor="accent1" w:themeShade="BF"/>
      <w:spacing w:val="5"/>
      <w:kern w:val="28"/>
      <w:sz w:val="40"/>
      <w:szCs w:val="52"/>
      <w:lang w:val="en-US"/>
    </w:rPr>
  </w:style>
  <w:style w:type="character" w:customStyle="1" w:styleId="TitleChar">
    <w:name w:val="Title Char"/>
    <w:basedOn w:val="DefaultParagraphFont"/>
    <w:link w:val="Title"/>
    <w:uiPriority w:val="10"/>
    <w:rsid w:val="005813ED"/>
    <w:rPr>
      <w:rFonts w:asciiTheme="majorHAnsi" w:eastAsiaTheme="majorEastAsia" w:hAnsiTheme="majorHAnsi" w:cstheme="majorBidi"/>
      <w:b/>
      <w:color w:val="365F91" w:themeColor="accent1" w:themeShade="BF"/>
      <w:spacing w:val="5"/>
      <w:kern w:val="28"/>
      <w:sz w:val="40"/>
      <w:szCs w:val="52"/>
      <w:lang w:val="en-US" w:eastAsia="fr-BE"/>
    </w:rPr>
  </w:style>
  <w:style w:type="character" w:styleId="FollowedHyperlink">
    <w:name w:val="FollowedHyperlink"/>
    <w:basedOn w:val="DefaultParagraphFont"/>
    <w:uiPriority w:val="99"/>
    <w:semiHidden/>
    <w:unhideWhenUsed/>
    <w:rsid w:val="001554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63"/>
    <w:pPr>
      <w:spacing w:line="360" w:lineRule="auto"/>
    </w:pPr>
    <w:rPr>
      <w:rFonts w:eastAsiaTheme="minorEastAsia"/>
      <w:color w:val="404040" w:themeColor="text1" w:themeTint="BF"/>
      <w:sz w:val="24"/>
      <w:lang w:val="en-GB" w:eastAsia="fr-BE"/>
    </w:rPr>
  </w:style>
  <w:style w:type="paragraph" w:styleId="Heading1">
    <w:name w:val="heading 1"/>
    <w:basedOn w:val="Normal"/>
    <w:next w:val="Normal"/>
    <w:link w:val="Heading1Char"/>
    <w:autoRedefine/>
    <w:qFormat/>
    <w:rsid w:val="0000615F"/>
    <w:pPr>
      <w:keepNext/>
      <w:keepLines/>
      <w:spacing w:before="20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D73219"/>
    <w:pPr>
      <w:keepNext/>
      <w:keepLines/>
      <w:spacing w:after="0" w:line="240" w:lineRule="auto"/>
      <w:ind w:left="708"/>
      <w:outlineLvl w:val="1"/>
    </w:pPr>
    <w:rPr>
      <w:rFonts w:asciiTheme="majorHAnsi" w:eastAsiaTheme="majorEastAsia" w:hAnsiTheme="majorHAnsi" w:cstheme="majorBidi"/>
      <w:b/>
      <w:bCs/>
      <w:color w:val="365F91" w:themeColor="accent1" w:themeShade="BF"/>
      <w:sz w:val="26"/>
      <w:szCs w:val="26"/>
    </w:rPr>
  </w:style>
  <w:style w:type="paragraph" w:styleId="Heading5">
    <w:name w:val="heading 5"/>
    <w:basedOn w:val="Normal"/>
    <w:next w:val="Normal"/>
    <w:link w:val="Heading5Char"/>
    <w:qFormat/>
    <w:rsid w:val="00B6775B"/>
    <w:pPr>
      <w:keepNext/>
      <w:keepLines/>
      <w:spacing w:before="200" w:after="0" w:line="240" w:lineRule="auto"/>
      <w:outlineLvl w:val="4"/>
    </w:pPr>
    <w:rPr>
      <w:rFonts w:ascii="Calibri" w:eastAsia="MS Gothic" w:hAnsi="Calibri"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D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D7A"/>
    <w:rPr>
      <w:lang w:val="en-GB"/>
    </w:rPr>
  </w:style>
  <w:style w:type="paragraph" w:styleId="Footer">
    <w:name w:val="footer"/>
    <w:basedOn w:val="Normal"/>
    <w:link w:val="FooterChar"/>
    <w:uiPriority w:val="99"/>
    <w:unhideWhenUsed/>
    <w:rsid w:val="00474D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D7A"/>
    <w:rPr>
      <w:lang w:val="en-GB"/>
    </w:rPr>
  </w:style>
  <w:style w:type="paragraph" w:customStyle="1" w:styleId="nospacing">
    <w:name w:val="nospacing"/>
    <w:basedOn w:val="Normal"/>
    <w:rsid w:val="00474D7A"/>
    <w:pPr>
      <w:spacing w:before="100" w:beforeAutospacing="1" w:after="100" w:afterAutospacing="1" w:line="240" w:lineRule="auto"/>
    </w:pPr>
    <w:rPr>
      <w:rFonts w:ascii="Times New Roman" w:eastAsia="Calibri" w:hAnsi="Times New Roman" w:cs="Times New Roman"/>
      <w:szCs w:val="24"/>
      <w:lang w:val="en-US"/>
    </w:rPr>
  </w:style>
  <w:style w:type="character" w:styleId="Hyperlink">
    <w:name w:val="Hyperlink"/>
    <w:basedOn w:val="DefaultParagraphFont"/>
    <w:uiPriority w:val="99"/>
    <w:unhideWhenUsed/>
    <w:rsid w:val="002079A3"/>
    <w:rPr>
      <w:color w:val="0000FF" w:themeColor="hyperlink"/>
      <w:u w:val="single"/>
    </w:rPr>
  </w:style>
  <w:style w:type="paragraph" w:styleId="BalloonText">
    <w:name w:val="Balloon Text"/>
    <w:basedOn w:val="Normal"/>
    <w:link w:val="BalloonTextChar"/>
    <w:uiPriority w:val="99"/>
    <w:semiHidden/>
    <w:unhideWhenUsed/>
    <w:rsid w:val="0009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A1"/>
    <w:rPr>
      <w:rFonts w:ascii="Tahoma" w:hAnsi="Tahoma" w:cs="Tahoma"/>
      <w:sz w:val="16"/>
      <w:szCs w:val="16"/>
      <w:lang w:val="en-GB"/>
    </w:rPr>
  </w:style>
  <w:style w:type="character" w:customStyle="1" w:styleId="Heading5Char">
    <w:name w:val="Heading 5 Char"/>
    <w:basedOn w:val="DefaultParagraphFont"/>
    <w:link w:val="Heading5"/>
    <w:rsid w:val="00B6775B"/>
    <w:rPr>
      <w:rFonts w:ascii="Calibri" w:eastAsia="MS Gothic" w:hAnsi="Calibri" w:cs="Times New Roman"/>
      <w:color w:val="243F60"/>
      <w:sz w:val="20"/>
      <w:szCs w:val="20"/>
    </w:rPr>
  </w:style>
  <w:style w:type="character" w:styleId="CommentReference">
    <w:name w:val="annotation reference"/>
    <w:basedOn w:val="DefaultParagraphFont"/>
    <w:uiPriority w:val="99"/>
    <w:semiHidden/>
    <w:unhideWhenUsed/>
    <w:rsid w:val="000B624C"/>
    <w:rPr>
      <w:sz w:val="16"/>
      <w:szCs w:val="16"/>
    </w:rPr>
  </w:style>
  <w:style w:type="paragraph" w:styleId="CommentText">
    <w:name w:val="annotation text"/>
    <w:basedOn w:val="Normal"/>
    <w:link w:val="CommentTextChar"/>
    <w:uiPriority w:val="99"/>
    <w:semiHidden/>
    <w:unhideWhenUsed/>
    <w:rsid w:val="000B624C"/>
    <w:pPr>
      <w:spacing w:line="240" w:lineRule="auto"/>
    </w:pPr>
    <w:rPr>
      <w:sz w:val="20"/>
      <w:szCs w:val="20"/>
    </w:rPr>
  </w:style>
  <w:style w:type="character" w:customStyle="1" w:styleId="CommentTextChar">
    <w:name w:val="Comment Text Char"/>
    <w:basedOn w:val="DefaultParagraphFont"/>
    <w:link w:val="CommentText"/>
    <w:uiPriority w:val="99"/>
    <w:semiHidden/>
    <w:rsid w:val="000B624C"/>
    <w:rPr>
      <w:sz w:val="20"/>
      <w:szCs w:val="20"/>
      <w:lang w:val="en-GB"/>
    </w:rPr>
  </w:style>
  <w:style w:type="paragraph" w:styleId="CommentSubject">
    <w:name w:val="annotation subject"/>
    <w:basedOn w:val="CommentText"/>
    <w:next w:val="CommentText"/>
    <w:link w:val="CommentSubjectChar"/>
    <w:uiPriority w:val="99"/>
    <w:semiHidden/>
    <w:unhideWhenUsed/>
    <w:rsid w:val="000B624C"/>
    <w:rPr>
      <w:b/>
      <w:bCs/>
    </w:rPr>
  </w:style>
  <w:style w:type="character" w:customStyle="1" w:styleId="CommentSubjectChar">
    <w:name w:val="Comment Subject Char"/>
    <w:basedOn w:val="CommentTextChar"/>
    <w:link w:val="CommentSubject"/>
    <w:uiPriority w:val="99"/>
    <w:semiHidden/>
    <w:rsid w:val="000B624C"/>
    <w:rPr>
      <w:b/>
      <w:bCs/>
      <w:sz w:val="20"/>
      <w:szCs w:val="20"/>
      <w:lang w:val="en-GB"/>
    </w:rPr>
  </w:style>
  <w:style w:type="paragraph" w:styleId="Revision">
    <w:name w:val="Revision"/>
    <w:hidden/>
    <w:uiPriority w:val="99"/>
    <w:semiHidden/>
    <w:rsid w:val="002733F2"/>
    <w:pPr>
      <w:spacing w:after="0" w:line="240" w:lineRule="auto"/>
    </w:pPr>
    <w:rPr>
      <w:lang w:val="en-GB"/>
    </w:rPr>
  </w:style>
  <w:style w:type="character" w:customStyle="1" w:styleId="Heading1Char">
    <w:name w:val="Heading 1 Char"/>
    <w:basedOn w:val="DefaultParagraphFont"/>
    <w:link w:val="Heading1"/>
    <w:rsid w:val="0000615F"/>
    <w:rPr>
      <w:rFonts w:asciiTheme="majorHAnsi" w:eastAsiaTheme="majorEastAsia" w:hAnsiTheme="majorHAnsi" w:cstheme="majorBidi"/>
      <w:b/>
      <w:bCs/>
      <w:color w:val="365F91" w:themeColor="accent1" w:themeShade="BF"/>
      <w:sz w:val="28"/>
      <w:szCs w:val="28"/>
      <w:lang w:val="en-GB" w:eastAsia="fr-BE"/>
    </w:rPr>
  </w:style>
  <w:style w:type="character" w:styleId="PlaceholderText">
    <w:name w:val="Placeholder Text"/>
    <w:basedOn w:val="DefaultParagraphFont"/>
    <w:uiPriority w:val="99"/>
    <w:semiHidden/>
    <w:rsid w:val="00A25F38"/>
    <w:rPr>
      <w:color w:val="808080"/>
    </w:rPr>
  </w:style>
  <w:style w:type="character" w:customStyle="1" w:styleId="Heading2Char">
    <w:name w:val="Heading 2 Char"/>
    <w:basedOn w:val="DefaultParagraphFont"/>
    <w:link w:val="Heading2"/>
    <w:uiPriority w:val="9"/>
    <w:rsid w:val="00D73219"/>
    <w:rPr>
      <w:rFonts w:asciiTheme="majorHAnsi" w:eastAsiaTheme="majorEastAsia" w:hAnsiTheme="majorHAnsi" w:cstheme="majorBidi"/>
      <w:b/>
      <w:bCs/>
      <w:color w:val="365F91" w:themeColor="accent1" w:themeShade="BF"/>
      <w:sz w:val="26"/>
      <w:szCs w:val="26"/>
      <w:lang w:val="en-GB" w:eastAsia="fr-BE"/>
    </w:rPr>
  </w:style>
  <w:style w:type="paragraph" w:styleId="ListParagraph">
    <w:name w:val="List Paragraph"/>
    <w:basedOn w:val="Normal"/>
    <w:link w:val="ListParagraphChar"/>
    <w:autoRedefine/>
    <w:uiPriority w:val="34"/>
    <w:qFormat/>
    <w:rsid w:val="00E213CA"/>
    <w:pPr>
      <w:numPr>
        <w:numId w:val="40"/>
      </w:numPr>
      <w:spacing w:line="240" w:lineRule="auto"/>
      <w:contextualSpacing/>
    </w:pPr>
  </w:style>
  <w:style w:type="paragraph" w:styleId="ListBullet2">
    <w:name w:val="List Bullet 2"/>
    <w:basedOn w:val="Normal"/>
    <w:autoRedefine/>
    <w:rsid w:val="00A33ABD"/>
    <w:pPr>
      <w:numPr>
        <w:numId w:val="1"/>
      </w:numPr>
      <w:spacing w:after="0" w:line="240" w:lineRule="auto"/>
    </w:pPr>
    <w:rPr>
      <w:rFonts w:ascii="Times New Roman" w:eastAsia="Times New Roman" w:hAnsi="Times New Roman" w:cs="Times New Roman"/>
      <w:szCs w:val="24"/>
      <w:lang w:eastAsia="en-US"/>
    </w:rPr>
  </w:style>
  <w:style w:type="paragraph" w:styleId="NormalWeb">
    <w:name w:val="Normal (Web)"/>
    <w:basedOn w:val="Normal"/>
    <w:uiPriority w:val="99"/>
    <w:unhideWhenUsed/>
    <w:rsid w:val="00A33AB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semiHidden/>
    <w:unhideWhenUsed/>
    <w:qFormat/>
    <w:rsid w:val="00316838"/>
    <w:pPr>
      <w:outlineLvl w:val="9"/>
    </w:pPr>
    <w:rPr>
      <w:lang w:val="en-US" w:eastAsia="ja-JP"/>
    </w:rPr>
  </w:style>
  <w:style w:type="paragraph" w:styleId="TOC2">
    <w:name w:val="toc 2"/>
    <w:basedOn w:val="Normal"/>
    <w:next w:val="Normal"/>
    <w:autoRedefine/>
    <w:uiPriority w:val="39"/>
    <w:unhideWhenUsed/>
    <w:qFormat/>
    <w:rsid w:val="00316838"/>
    <w:pPr>
      <w:spacing w:after="100"/>
      <w:ind w:left="220"/>
    </w:pPr>
    <w:rPr>
      <w:lang w:val="en-US" w:eastAsia="ja-JP"/>
    </w:rPr>
  </w:style>
  <w:style w:type="paragraph" w:styleId="TOC1">
    <w:name w:val="toc 1"/>
    <w:basedOn w:val="Normal"/>
    <w:next w:val="Normal"/>
    <w:autoRedefine/>
    <w:uiPriority w:val="39"/>
    <w:unhideWhenUsed/>
    <w:qFormat/>
    <w:rsid w:val="00316838"/>
    <w:pPr>
      <w:spacing w:after="100"/>
    </w:pPr>
    <w:rPr>
      <w:lang w:val="en-US" w:eastAsia="ja-JP"/>
    </w:rPr>
  </w:style>
  <w:style w:type="paragraph" w:styleId="TOC3">
    <w:name w:val="toc 3"/>
    <w:basedOn w:val="Normal"/>
    <w:next w:val="Normal"/>
    <w:autoRedefine/>
    <w:uiPriority w:val="39"/>
    <w:semiHidden/>
    <w:unhideWhenUsed/>
    <w:qFormat/>
    <w:rsid w:val="00316838"/>
    <w:pPr>
      <w:spacing w:after="100"/>
      <w:ind w:left="440"/>
    </w:pPr>
    <w:rPr>
      <w:lang w:val="en-US" w:eastAsia="ja-JP"/>
    </w:rPr>
  </w:style>
  <w:style w:type="table" w:styleId="LightShading-Accent1">
    <w:name w:val="Light Shading Accent 1"/>
    <w:basedOn w:val="TableNormal"/>
    <w:uiPriority w:val="60"/>
    <w:rsid w:val="00837E89"/>
    <w:pPr>
      <w:spacing w:after="0" w:line="240" w:lineRule="auto"/>
    </w:pPr>
    <w:rPr>
      <w:rFonts w:eastAsiaTheme="minorEastAsia"/>
      <w:color w:val="365F91" w:themeColor="accent1" w:themeShade="BF"/>
      <w:lang w:eastAsia="fr-B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D2CC2"/>
    <w:pPr>
      <w:autoSpaceDE w:val="0"/>
      <w:autoSpaceDN w:val="0"/>
      <w:adjustRightInd w:val="0"/>
      <w:spacing w:after="0" w:line="240" w:lineRule="auto"/>
    </w:pPr>
    <w:rPr>
      <w:rFonts w:ascii="Symbol" w:hAnsi="Symbol" w:cs="Symbol"/>
      <w:color w:val="000000"/>
      <w:sz w:val="24"/>
      <w:szCs w:val="24"/>
    </w:rPr>
  </w:style>
  <w:style w:type="character" w:customStyle="1" w:styleId="ListParagraphChar">
    <w:name w:val="List Paragraph Char"/>
    <w:basedOn w:val="DefaultParagraphFont"/>
    <w:link w:val="ListParagraph"/>
    <w:uiPriority w:val="34"/>
    <w:rsid w:val="00E213CA"/>
    <w:rPr>
      <w:rFonts w:eastAsiaTheme="minorEastAsia"/>
      <w:color w:val="404040" w:themeColor="text1" w:themeTint="BF"/>
      <w:sz w:val="24"/>
      <w:lang w:val="en-GB" w:eastAsia="fr-BE"/>
    </w:rPr>
  </w:style>
  <w:style w:type="paragraph" w:styleId="FootnoteText">
    <w:name w:val="footnote text"/>
    <w:basedOn w:val="Normal"/>
    <w:link w:val="FootnoteTextChar"/>
    <w:uiPriority w:val="99"/>
    <w:semiHidden/>
    <w:unhideWhenUsed/>
    <w:rsid w:val="00D3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B8E"/>
    <w:rPr>
      <w:rFonts w:eastAsiaTheme="minorEastAsia"/>
      <w:sz w:val="20"/>
      <w:szCs w:val="20"/>
      <w:lang w:val="en-GB" w:eastAsia="fr-BE"/>
    </w:rPr>
  </w:style>
  <w:style w:type="character" w:styleId="FootnoteReference">
    <w:name w:val="footnote reference"/>
    <w:basedOn w:val="DefaultParagraphFont"/>
    <w:uiPriority w:val="99"/>
    <w:unhideWhenUsed/>
    <w:qFormat/>
    <w:rsid w:val="00D33B8E"/>
    <w:rPr>
      <w:vertAlign w:val="superscript"/>
    </w:rPr>
  </w:style>
  <w:style w:type="table" w:styleId="TableGrid">
    <w:name w:val="Table Grid"/>
    <w:basedOn w:val="TableNormal"/>
    <w:uiPriority w:val="59"/>
    <w:rsid w:val="005E2DCC"/>
    <w:pPr>
      <w:spacing w:after="0" w:line="240" w:lineRule="auto"/>
    </w:pPr>
    <w:rPr>
      <w:rFonts w:ascii="Calibri" w:eastAsia="Calibri" w:hAnsi="Calibri" w:cs="Times New Roman"/>
      <w:sz w:val="20"/>
      <w:szCs w:val="20"/>
      <w:lang w:val="hu-HU"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ListParagraph"/>
    <w:qFormat/>
    <w:rsid w:val="005E2DCC"/>
    <w:pPr>
      <w:numPr>
        <w:numId w:val="6"/>
      </w:numPr>
      <w:pBdr>
        <w:bottom w:val="single" w:sz="4" w:space="1" w:color="130B7B"/>
      </w:pBdr>
      <w:spacing w:after="0"/>
      <w:ind w:right="425"/>
    </w:pPr>
    <w:rPr>
      <w:rFonts w:ascii="Arial" w:hAnsi="Arial" w:cs="Arial"/>
      <w:b/>
      <w:color w:val="130B7B"/>
      <w:szCs w:val="24"/>
    </w:rPr>
  </w:style>
  <w:style w:type="paragraph" w:customStyle="1" w:styleId="Style2">
    <w:name w:val="Style2"/>
    <w:basedOn w:val="ListParagraph"/>
    <w:link w:val="Style2Char"/>
    <w:qFormat/>
    <w:rsid w:val="005E2DCC"/>
    <w:pPr>
      <w:numPr>
        <w:ilvl w:val="1"/>
        <w:numId w:val="6"/>
      </w:numPr>
      <w:spacing w:after="0"/>
    </w:pPr>
    <w:rPr>
      <w:rFonts w:ascii="Arial" w:hAnsi="Arial" w:cs="Arial"/>
      <w:b/>
    </w:rPr>
  </w:style>
  <w:style w:type="character" w:customStyle="1" w:styleId="Style2Char">
    <w:name w:val="Style2 Char"/>
    <w:basedOn w:val="ListParagraphChar"/>
    <w:link w:val="Style2"/>
    <w:rsid w:val="005E2DCC"/>
    <w:rPr>
      <w:rFonts w:ascii="Arial" w:eastAsiaTheme="minorEastAsia" w:hAnsi="Arial" w:cs="Arial"/>
      <w:b/>
      <w:color w:val="404040" w:themeColor="text1" w:themeTint="BF"/>
      <w:sz w:val="24"/>
      <w:lang w:val="en-GB" w:eastAsia="fr-BE"/>
    </w:rPr>
  </w:style>
  <w:style w:type="paragraph" w:styleId="Quote">
    <w:name w:val="Quote"/>
    <w:basedOn w:val="Normal"/>
    <w:next w:val="Normal"/>
    <w:link w:val="QuoteChar"/>
    <w:autoRedefine/>
    <w:uiPriority w:val="29"/>
    <w:qFormat/>
    <w:rsid w:val="0000615F"/>
    <w:rPr>
      <w:i/>
      <w:iCs/>
    </w:rPr>
  </w:style>
  <w:style w:type="character" w:customStyle="1" w:styleId="QuoteChar">
    <w:name w:val="Quote Char"/>
    <w:basedOn w:val="DefaultParagraphFont"/>
    <w:link w:val="Quote"/>
    <w:uiPriority w:val="29"/>
    <w:rsid w:val="0000615F"/>
    <w:rPr>
      <w:rFonts w:eastAsiaTheme="minorEastAsia"/>
      <w:i/>
      <w:iCs/>
      <w:color w:val="404040" w:themeColor="text1" w:themeTint="BF"/>
      <w:sz w:val="24"/>
      <w:lang w:val="en-GB" w:eastAsia="fr-BE"/>
    </w:rPr>
  </w:style>
  <w:style w:type="paragraph" w:styleId="Title">
    <w:name w:val="Title"/>
    <w:basedOn w:val="Normal"/>
    <w:next w:val="Normal"/>
    <w:link w:val="TitleChar"/>
    <w:autoRedefine/>
    <w:uiPriority w:val="10"/>
    <w:qFormat/>
    <w:rsid w:val="005813ED"/>
    <w:pPr>
      <w:pBdr>
        <w:bottom w:val="single" w:sz="8" w:space="4" w:color="4F81BD" w:themeColor="accent1"/>
      </w:pBdr>
      <w:spacing w:after="300" w:line="240" w:lineRule="auto"/>
      <w:ind w:left="360"/>
      <w:contextualSpacing/>
      <w:jc w:val="center"/>
    </w:pPr>
    <w:rPr>
      <w:rFonts w:asciiTheme="majorHAnsi" w:eastAsiaTheme="majorEastAsia" w:hAnsiTheme="majorHAnsi" w:cstheme="majorBidi"/>
      <w:b/>
      <w:color w:val="365F91" w:themeColor="accent1" w:themeShade="BF"/>
      <w:spacing w:val="5"/>
      <w:kern w:val="28"/>
      <w:sz w:val="40"/>
      <w:szCs w:val="52"/>
      <w:lang w:val="en-US"/>
    </w:rPr>
  </w:style>
  <w:style w:type="character" w:customStyle="1" w:styleId="TitleChar">
    <w:name w:val="Title Char"/>
    <w:basedOn w:val="DefaultParagraphFont"/>
    <w:link w:val="Title"/>
    <w:uiPriority w:val="10"/>
    <w:rsid w:val="005813ED"/>
    <w:rPr>
      <w:rFonts w:asciiTheme="majorHAnsi" w:eastAsiaTheme="majorEastAsia" w:hAnsiTheme="majorHAnsi" w:cstheme="majorBidi"/>
      <w:b/>
      <w:color w:val="365F91" w:themeColor="accent1" w:themeShade="BF"/>
      <w:spacing w:val="5"/>
      <w:kern w:val="28"/>
      <w:sz w:val="40"/>
      <w:szCs w:val="52"/>
      <w:lang w:val="en-US" w:eastAsia="fr-BE"/>
    </w:rPr>
  </w:style>
  <w:style w:type="character" w:styleId="FollowedHyperlink">
    <w:name w:val="FollowedHyperlink"/>
    <w:basedOn w:val="DefaultParagraphFont"/>
    <w:uiPriority w:val="99"/>
    <w:semiHidden/>
    <w:unhideWhenUsed/>
    <w:rsid w:val="001554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4377">
      <w:bodyDiv w:val="1"/>
      <w:marLeft w:val="0"/>
      <w:marRight w:val="0"/>
      <w:marTop w:val="0"/>
      <w:marBottom w:val="0"/>
      <w:divBdr>
        <w:top w:val="none" w:sz="0" w:space="0" w:color="auto"/>
        <w:left w:val="none" w:sz="0" w:space="0" w:color="auto"/>
        <w:bottom w:val="none" w:sz="0" w:space="0" w:color="auto"/>
        <w:right w:val="none" w:sz="0" w:space="0" w:color="auto"/>
      </w:divBdr>
      <w:divsChild>
        <w:div w:id="1009872467">
          <w:marLeft w:val="0"/>
          <w:marRight w:val="0"/>
          <w:marTop w:val="0"/>
          <w:marBottom w:val="0"/>
          <w:divBdr>
            <w:top w:val="none" w:sz="0" w:space="0" w:color="auto"/>
            <w:left w:val="none" w:sz="0" w:space="0" w:color="auto"/>
            <w:bottom w:val="none" w:sz="0" w:space="0" w:color="auto"/>
            <w:right w:val="none" w:sz="0" w:space="0" w:color="auto"/>
          </w:divBdr>
          <w:divsChild>
            <w:div w:id="1273779087">
              <w:marLeft w:val="0"/>
              <w:marRight w:val="0"/>
              <w:marTop w:val="0"/>
              <w:marBottom w:val="0"/>
              <w:divBdr>
                <w:top w:val="none" w:sz="0" w:space="0" w:color="auto"/>
                <w:left w:val="none" w:sz="0" w:space="0" w:color="auto"/>
                <w:bottom w:val="none" w:sz="0" w:space="0" w:color="auto"/>
                <w:right w:val="none" w:sz="0" w:space="0" w:color="auto"/>
              </w:divBdr>
              <w:divsChild>
                <w:div w:id="1263687441">
                  <w:marLeft w:val="0"/>
                  <w:marRight w:val="0"/>
                  <w:marTop w:val="0"/>
                  <w:marBottom w:val="0"/>
                  <w:divBdr>
                    <w:top w:val="none" w:sz="0" w:space="0" w:color="auto"/>
                    <w:left w:val="none" w:sz="0" w:space="0" w:color="auto"/>
                    <w:bottom w:val="none" w:sz="0" w:space="0" w:color="auto"/>
                    <w:right w:val="none" w:sz="0" w:space="0" w:color="auto"/>
                  </w:divBdr>
                  <w:divsChild>
                    <w:div w:id="1674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8269">
          <w:marLeft w:val="0"/>
          <w:marRight w:val="0"/>
          <w:marTop w:val="0"/>
          <w:marBottom w:val="0"/>
          <w:divBdr>
            <w:top w:val="none" w:sz="0" w:space="0" w:color="auto"/>
            <w:left w:val="none" w:sz="0" w:space="0" w:color="auto"/>
            <w:bottom w:val="none" w:sz="0" w:space="0" w:color="auto"/>
            <w:right w:val="none" w:sz="0" w:space="0" w:color="auto"/>
          </w:divBdr>
        </w:div>
        <w:div w:id="908999801">
          <w:marLeft w:val="0"/>
          <w:marRight w:val="0"/>
          <w:marTop w:val="0"/>
          <w:marBottom w:val="0"/>
          <w:divBdr>
            <w:top w:val="none" w:sz="0" w:space="0" w:color="auto"/>
            <w:left w:val="none" w:sz="0" w:space="0" w:color="auto"/>
            <w:bottom w:val="none" w:sz="0" w:space="0" w:color="auto"/>
            <w:right w:val="none" w:sz="0" w:space="0" w:color="auto"/>
          </w:divBdr>
          <w:divsChild>
            <w:div w:id="1568491997">
              <w:marLeft w:val="0"/>
              <w:marRight w:val="0"/>
              <w:marTop w:val="0"/>
              <w:marBottom w:val="0"/>
              <w:divBdr>
                <w:top w:val="none" w:sz="0" w:space="0" w:color="auto"/>
                <w:left w:val="none" w:sz="0" w:space="0" w:color="auto"/>
                <w:bottom w:val="none" w:sz="0" w:space="0" w:color="auto"/>
                <w:right w:val="none" w:sz="0" w:space="0" w:color="auto"/>
              </w:divBdr>
              <w:divsChild>
                <w:div w:id="711809193">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sChild>
                        <w:div w:id="13062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8247">
          <w:marLeft w:val="0"/>
          <w:marRight w:val="0"/>
          <w:marTop w:val="0"/>
          <w:marBottom w:val="0"/>
          <w:divBdr>
            <w:top w:val="none" w:sz="0" w:space="0" w:color="auto"/>
            <w:left w:val="none" w:sz="0" w:space="0" w:color="auto"/>
            <w:bottom w:val="none" w:sz="0" w:space="0" w:color="auto"/>
            <w:right w:val="none" w:sz="0" w:space="0" w:color="auto"/>
          </w:divBdr>
          <w:divsChild>
            <w:div w:id="677778891">
              <w:marLeft w:val="0"/>
              <w:marRight w:val="0"/>
              <w:marTop w:val="0"/>
              <w:marBottom w:val="0"/>
              <w:divBdr>
                <w:top w:val="none" w:sz="0" w:space="0" w:color="auto"/>
                <w:left w:val="none" w:sz="0" w:space="0" w:color="auto"/>
                <w:bottom w:val="none" w:sz="0" w:space="0" w:color="auto"/>
                <w:right w:val="none" w:sz="0" w:space="0" w:color="auto"/>
              </w:divBdr>
              <w:divsChild>
                <w:div w:id="1309281535">
                  <w:marLeft w:val="0"/>
                  <w:marRight w:val="0"/>
                  <w:marTop w:val="0"/>
                  <w:marBottom w:val="0"/>
                  <w:divBdr>
                    <w:top w:val="none" w:sz="0" w:space="0" w:color="auto"/>
                    <w:left w:val="none" w:sz="0" w:space="0" w:color="auto"/>
                    <w:bottom w:val="none" w:sz="0" w:space="0" w:color="auto"/>
                    <w:right w:val="none" w:sz="0" w:space="0" w:color="auto"/>
                  </w:divBdr>
                  <w:divsChild>
                    <w:div w:id="506022986">
                      <w:marLeft w:val="0"/>
                      <w:marRight w:val="0"/>
                      <w:marTop w:val="0"/>
                      <w:marBottom w:val="0"/>
                      <w:divBdr>
                        <w:top w:val="none" w:sz="0" w:space="0" w:color="auto"/>
                        <w:left w:val="none" w:sz="0" w:space="0" w:color="auto"/>
                        <w:bottom w:val="none" w:sz="0" w:space="0" w:color="auto"/>
                        <w:right w:val="none" w:sz="0" w:space="0" w:color="auto"/>
                      </w:divBdr>
                      <w:divsChild>
                        <w:div w:id="1118715138">
                          <w:marLeft w:val="0"/>
                          <w:marRight w:val="0"/>
                          <w:marTop w:val="0"/>
                          <w:marBottom w:val="0"/>
                          <w:divBdr>
                            <w:top w:val="none" w:sz="0" w:space="0" w:color="auto"/>
                            <w:left w:val="none" w:sz="0" w:space="0" w:color="auto"/>
                            <w:bottom w:val="none" w:sz="0" w:space="0" w:color="auto"/>
                            <w:right w:val="none" w:sz="0" w:space="0" w:color="auto"/>
                          </w:divBdr>
                          <w:divsChild>
                            <w:div w:id="3019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590376">
      <w:bodyDiv w:val="1"/>
      <w:marLeft w:val="0"/>
      <w:marRight w:val="0"/>
      <w:marTop w:val="0"/>
      <w:marBottom w:val="0"/>
      <w:divBdr>
        <w:top w:val="none" w:sz="0" w:space="0" w:color="auto"/>
        <w:left w:val="none" w:sz="0" w:space="0" w:color="auto"/>
        <w:bottom w:val="none" w:sz="0" w:space="0" w:color="auto"/>
        <w:right w:val="none" w:sz="0" w:space="0" w:color="auto"/>
      </w:divBdr>
      <w:divsChild>
        <w:div w:id="111442691">
          <w:marLeft w:val="0"/>
          <w:marRight w:val="0"/>
          <w:marTop w:val="0"/>
          <w:marBottom w:val="0"/>
          <w:divBdr>
            <w:top w:val="none" w:sz="0" w:space="0" w:color="auto"/>
            <w:left w:val="none" w:sz="0" w:space="0" w:color="auto"/>
            <w:bottom w:val="none" w:sz="0" w:space="0" w:color="auto"/>
            <w:right w:val="none" w:sz="0" w:space="0" w:color="auto"/>
          </w:divBdr>
        </w:div>
        <w:div w:id="696934341">
          <w:marLeft w:val="0"/>
          <w:marRight w:val="0"/>
          <w:marTop w:val="0"/>
          <w:marBottom w:val="0"/>
          <w:divBdr>
            <w:top w:val="none" w:sz="0" w:space="0" w:color="auto"/>
            <w:left w:val="none" w:sz="0" w:space="0" w:color="auto"/>
            <w:bottom w:val="none" w:sz="0" w:space="0" w:color="auto"/>
            <w:right w:val="none" w:sz="0" w:space="0" w:color="auto"/>
          </w:divBdr>
          <w:divsChild>
            <w:div w:id="1813596977">
              <w:marLeft w:val="0"/>
              <w:marRight w:val="0"/>
              <w:marTop w:val="0"/>
              <w:marBottom w:val="0"/>
              <w:divBdr>
                <w:top w:val="none" w:sz="0" w:space="0" w:color="auto"/>
                <w:left w:val="none" w:sz="0" w:space="0" w:color="auto"/>
                <w:bottom w:val="none" w:sz="0" w:space="0" w:color="auto"/>
                <w:right w:val="none" w:sz="0" w:space="0" w:color="auto"/>
              </w:divBdr>
              <w:divsChild>
                <w:div w:id="1778720039">
                  <w:marLeft w:val="0"/>
                  <w:marRight w:val="0"/>
                  <w:marTop w:val="0"/>
                  <w:marBottom w:val="0"/>
                  <w:divBdr>
                    <w:top w:val="none" w:sz="0" w:space="0" w:color="auto"/>
                    <w:left w:val="none" w:sz="0" w:space="0" w:color="auto"/>
                    <w:bottom w:val="none" w:sz="0" w:space="0" w:color="auto"/>
                    <w:right w:val="none" w:sz="0" w:space="0" w:color="auto"/>
                  </w:divBdr>
                  <w:divsChild>
                    <w:div w:id="176889627">
                      <w:marLeft w:val="0"/>
                      <w:marRight w:val="0"/>
                      <w:marTop w:val="0"/>
                      <w:marBottom w:val="0"/>
                      <w:divBdr>
                        <w:top w:val="none" w:sz="0" w:space="0" w:color="auto"/>
                        <w:left w:val="none" w:sz="0" w:space="0" w:color="auto"/>
                        <w:bottom w:val="none" w:sz="0" w:space="0" w:color="auto"/>
                        <w:right w:val="none" w:sz="0" w:space="0" w:color="auto"/>
                      </w:divBdr>
                      <w:divsChild>
                        <w:div w:id="11476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9101">
          <w:marLeft w:val="0"/>
          <w:marRight w:val="0"/>
          <w:marTop w:val="0"/>
          <w:marBottom w:val="0"/>
          <w:divBdr>
            <w:top w:val="none" w:sz="0" w:space="0" w:color="auto"/>
            <w:left w:val="none" w:sz="0" w:space="0" w:color="auto"/>
            <w:bottom w:val="none" w:sz="0" w:space="0" w:color="auto"/>
            <w:right w:val="none" w:sz="0" w:space="0" w:color="auto"/>
          </w:divBdr>
          <w:divsChild>
            <w:div w:id="175730521">
              <w:marLeft w:val="0"/>
              <w:marRight w:val="0"/>
              <w:marTop w:val="0"/>
              <w:marBottom w:val="0"/>
              <w:divBdr>
                <w:top w:val="none" w:sz="0" w:space="0" w:color="auto"/>
                <w:left w:val="none" w:sz="0" w:space="0" w:color="auto"/>
                <w:bottom w:val="none" w:sz="0" w:space="0" w:color="auto"/>
                <w:right w:val="none" w:sz="0" w:space="0" w:color="auto"/>
              </w:divBdr>
              <w:divsChild>
                <w:div w:id="1485270831">
                  <w:marLeft w:val="0"/>
                  <w:marRight w:val="0"/>
                  <w:marTop w:val="0"/>
                  <w:marBottom w:val="0"/>
                  <w:divBdr>
                    <w:top w:val="none" w:sz="0" w:space="0" w:color="auto"/>
                    <w:left w:val="none" w:sz="0" w:space="0" w:color="auto"/>
                    <w:bottom w:val="none" w:sz="0" w:space="0" w:color="auto"/>
                    <w:right w:val="none" w:sz="0" w:space="0" w:color="auto"/>
                  </w:divBdr>
                  <w:divsChild>
                    <w:div w:id="1270700561">
                      <w:marLeft w:val="0"/>
                      <w:marRight w:val="0"/>
                      <w:marTop w:val="0"/>
                      <w:marBottom w:val="0"/>
                      <w:divBdr>
                        <w:top w:val="none" w:sz="0" w:space="0" w:color="auto"/>
                        <w:left w:val="none" w:sz="0" w:space="0" w:color="auto"/>
                        <w:bottom w:val="none" w:sz="0" w:space="0" w:color="auto"/>
                        <w:right w:val="none" w:sz="0" w:space="0" w:color="auto"/>
                      </w:divBdr>
                      <w:divsChild>
                        <w:div w:id="997852703">
                          <w:marLeft w:val="0"/>
                          <w:marRight w:val="0"/>
                          <w:marTop w:val="0"/>
                          <w:marBottom w:val="0"/>
                          <w:divBdr>
                            <w:top w:val="none" w:sz="0" w:space="0" w:color="auto"/>
                            <w:left w:val="none" w:sz="0" w:space="0" w:color="auto"/>
                            <w:bottom w:val="none" w:sz="0" w:space="0" w:color="auto"/>
                            <w:right w:val="none" w:sz="0" w:space="0" w:color="auto"/>
                          </w:divBdr>
                          <w:divsChild>
                            <w:div w:id="7905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094051">
      <w:bodyDiv w:val="1"/>
      <w:marLeft w:val="0"/>
      <w:marRight w:val="0"/>
      <w:marTop w:val="0"/>
      <w:marBottom w:val="0"/>
      <w:divBdr>
        <w:top w:val="none" w:sz="0" w:space="0" w:color="auto"/>
        <w:left w:val="none" w:sz="0" w:space="0" w:color="auto"/>
        <w:bottom w:val="none" w:sz="0" w:space="0" w:color="auto"/>
        <w:right w:val="none" w:sz="0" w:space="0" w:color="auto"/>
      </w:divBdr>
    </w:div>
    <w:div w:id="1077478446">
      <w:bodyDiv w:val="1"/>
      <w:marLeft w:val="0"/>
      <w:marRight w:val="0"/>
      <w:marTop w:val="0"/>
      <w:marBottom w:val="0"/>
      <w:divBdr>
        <w:top w:val="none" w:sz="0" w:space="0" w:color="auto"/>
        <w:left w:val="none" w:sz="0" w:space="0" w:color="auto"/>
        <w:bottom w:val="none" w:sz="0" w:space="0" w:color="auto"/>
        <w:right w:val="none" w:sz="0" w:space="0" w:color="auto"/>
      </w:divBdr>
      <w:divsChild>
        <w:div w:id="1736274930">
          <w:marLeft w:val="0"/>
          <w:marRight w:val="0"/>
          <w:marTop w:val="0"/>
          <w:marBottom w:val="0"/>
          <w:divBdr>
            <w:top w:val="none" w:sz="0" w:space="0" w:color="auto"/>
            <w:left w:val="none" w:sz="0" w:space="0" w:color="auto"/>
            <w:bottom w:val="none" w:sz="0" w:space="0" w:color="auto"/>
            <w:right w:val="none" w:sz="0" w:space="0" w:color="auto"/>
          </w:divBdr>
          <w:divsChild>
            <w:div w:id="752897442">
              <w:marLeft w:val="0"/>
              <w:marRight w:val="0"/>
              <w:marTop w:val="0"/>
              <w:marBottom w:val="0"/>
              <w:divBdr>
                <w:top w:val="none" w:sz="0" w:space="0" w:color="auto"/>
                <w:left w:val="none" w:sz="0" w:space="0" w:color="auto"/>
                <w:bottom w:val="none" w:sz="0" w:space="0" w:color="auto"/>
                <w:right w:val="none" w:sz="0" w:space="0" w:color="auto"/>
              </w:divBdr>
              <w:divsChild>
                <w:div w:id="1774206688">
                  <w:marLeft w:val="0"/>
                  <w:marRight w:val="0"/>
                  <w:marTop w:val="0"/>
                  <w:marBottom w:val="0"/>
                  <w:divBdr>
                    <w:top w:val="none" w:sz="0" w:space="0" w:color="auto"/>
                    <w:left w:val="none" w:sz="0" w:space="0" w:color="auto"/>
                    <w:bottom w:val="none" w:sz="0" w:space="0" w:color="auto"/>
                    <w:right w:val="none" w:sz="0" w:space="0" w:color="auto"/>
                  </w:divBdr>
                  <w:divsChild>
                    <w:div w:id="1504972236">
                      <w:marLeft w:val="0"/>
                      <w:marRight w:val="0"/>
                      <w:marTop w:val="0"/>
                      <w:marBottom w:val="0"/>
                      <w:divBdr>
                        <w:top w:val="none" w:sz="0" w:space="0" w:color="auto"/>
                        <w:left w:val="none" w:sz="0" w:space="0" w:color="auto"/>
                        <w:bottom w:val="none" w:sz="0" w:space="0" w:color="auto"/>
                        <w:right w:val="none" w:sz="0" w:space="0" w:color="auto"/>
                      </w:divBdr>
                      <w:divsChild>
                        <w:div w:id="122044646">
                          <w:marLeft w:val="0"/>
                          <w:marRight w:val="0"/>
                          <w:marTop w:val="0"/>
                          <w:marBottom w:val="0"/>
                          <w:divBdr>
                            <w:top w:val="none" w:sz="0" w:space="0" w:color="auto"/>
                            <w:left w:val="none" w:sz="0" w:space="0" w:color="auto"/>
                            <w:bottom w:val="none" w:sz="0" w:space="0" w:color="auto"/>
                            <w:right w:val="none" w:sz="0" w:space="0" w:color="auto"/>
                          </w:divBdr>
                          <w:divsChild>
                            <w:div w:id="85999574">
                              <w:marLeft w:val="0"/>
                              <w:marRight w:val="0"/>
                              <w:marTop w:val="0"/>
                              <w:marBottom w:val="0"/>
                              <w:divBdr>
                                <w:top w:val="none" w:sz="0" w:space="0" w:color="auto"/>
                                <w:left w:val="none" w:sz="0" w:space="0" w:color="auto"/>
                                <w:bottom w:val="none" w:sz="0" w:space="0" w:color="auto"/>
                                <w:right w:val="none" w:sz="0" w:space="0" w:color="auto"/>
                              </w:divBdr>
                              <w:divsChild>
                                <w:div w:id="986318645">
                                  <w:marLeft w:val="0"/>
                                  <w:marRight w:val="0"/>
                                  <w:marTop w:val="0"/>
                                  <w:marBottom w:val="0"/>
                                  <w:divBdr>
                                    <w:top w:val="none" w:sz="0" w:space="0" w:color="auto"/>
                                    <w:left w:val="none" w:sz="0" w:space="0" w:color="auto"/>
                                    <w:bottom w:val="none" w:sz="0" w:space="0" w:color="auto"/>
                                    <w:right w:val="none" w:sz="0" w:space="0" w:color="auto"/>
                                  </w:divBdr>
                                  <w:divsChild>
                                    <w:div w:id="1316760674">
                                      <w:marLeft w:val="60"/>
                                      <w:marRight w:val="0"/>
                                      <w:marTop w:val="0"/>
                                      <w:marBottom w:val="0"/>
                                      <w:divBdr>
                                        <w:top w:val="none" w:sz="0" w:space="0" w:color="auto"/>
                                        <w:left w:val="none" w:sz="0" w:space="0" w:color="auto"/>
                                        <w:bottom w:val="none" w:sz="0" w:space="0" w:color="auto"/>
                                        <w:right w:val="none" w:sz="0" w:space="0" w:color="auto"/>
                                      </w:divBdr>
                                      <w:divsChild>
                                        <w:div w:id="2057385866">
                                          <w:marLeft w:val="0"/>
                                          <w:marRight w:val="0"/>
                                          <w:marTop w:val="0"/>
                                          <w:marBottom w:val="0"/>
                                          <w:divBdr>
                                            <w:top w:val="none" w:sz="0" w:space="0" w:color="auto"/>
                                            <w:left w:val="none" w:sz="0" w:space="0" w:color="auto"/>
                                            <w:bottom w:val="none" w:sz="0" w:space="0" w:color="auto"/>
                                            <w:right w:val="none" w:sz="0" w:space="0" w:color="auto"/>
                                          </w:divBdr>
                                          <w:divsChild>
                                            <w:div w:id="502479135">
                                              <w:marLeft w:val="0"/>
                                              <w:marRight w:val="0"/>
                                              <w:marTop w:val="0"/>
                                              <w:marBottom w:val="120"/>
                                              <w:divBdr>
                                                <w:top w:val="single" w:sz="6" w:space="0" w:color="F5F5F5"/>
                                                <w:left w:val="single" w:sz="6" w:space="0" w:color="F5F5F5"/>
                                                <w:bottom w:val="single" w:sz="6" w:space="0" w:color="F5F5F5"/>
                                                <w:right w:val="single" w:sz="6" w:space="0" w:color="F5F5F5"/>
                                              </w:divBdr>
                                              <w:divsChild>
                                                <w:div w:id="1554659132">
                                                  <w:marLeft w:val="0"/>
                                                  <w:marRight w:val="0"/>
                                                  <w:marTop w:val="0"/>
                                                  <w:marBottom w:val="0"/>
                                                  <w:divBdr>
                                                    <w:top w:val="none" w:sz="0" w:space="0" w:color="auto"/>
                                                    <w:left w:val="none" w:sz="0" w:space="0" w:color="auto"/>
                                                    <w:bottom w:val="none" w:sz="0" w:space="0" w:color="auto"/>
                                                    <w:right w:val="none" w:sz="0" w:space="0" w:color="auto"/>
                                                  </w:divBdr>
                                                  <w:divsChild>
                                                    <w:div w:id="9339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1682242">
      <w:bodyDiv w:val="1"/>
      <w:marLeft w:val="0"/>
      <w:marRight w:val="0"/>
      <w:marTop w:val="0"/>
      <w:marBottom w:val="0"/>
      <w:divBdr>
        <w:top w:val="none" w:sz="0" w:space="0" w:color="auto"/>
        <w:left w:val="none" w:sz="0" w:space="0" w:color="auto"/>
        <w:bottom w:val="none" w:sz="0" w:space="0" w:color="auto"/>
        <w:right w:val="none" w:sz="0" w:space="0" w:color="auto"/>
      </w:divBdr>
      <w:divsChild>
        <w:div w:id="1029799853">
          <w:marLeft w:val="0"/>
          <w:marRight w:val="0"/>
          <w:marTop w:val="0"/>
          <w:marBottom w:val="0"/>
          <w:divBdr>
            <w:top w:val="none" w:sz="0" w:space="0" w:color="auto"/>
            <w:left w:val="none" w:sz="0" w:space="0" w:color="auto"/>
            <w:bottom w:val="none" w:sz="0" w:space="0" w:color="auto"/>
            <w:right w:val="none" w:sz="0" w:space="0" w:color="auto"/>
          </w:divBdr>
          <w:divsChild>
            <w:div w:id="1401294530">
              <w:marLeft w:val="0"/>
              <w:marRight w:val="0"/>
              <w:marTop w:val="0"/>
              <w:marBottom w:val="0"/>
              <w:divBdr>
                <w:top w:val="none" w:sz="0" w:space="0" w:color="auto"/>
                <w:left w:val="none" w:sz="0" w:space="0" w:color="auto"/>
                <w:bottom w:val="none" w:sz="0" w:space="0" w:color="auto"/>
                <w:right w:val="none" w:sz="0" w:space="0" w:color="auto"/>
              </w:divBdr>
              <w:divsChild>
                <w:div w:id="1351880307">
                  <w:marLeft w:val="0"/>
                  <w:marRight w:val="0"/>
                  <w:marTop w:val="0"/>
                  <w:marBottom w:val="0"/>
                  <w:divBdr>
                    <w:top w:val="none" w:sz="0" w:space="0" w:color="auto"/>
                    <w:left w:val="none" w:sz="0" w:space="0" w:color="auto"/>
                    <w:bottom w:val="none" w:sz="0" w:space="0" w:color="auto"/>
                    <w:right w:val="none" w:sz="0" w:space="0" w:color="auto"/>
                  </w:divBdr>
                  <w:divsChild>
                    <w:div w:id="360984134">
                      <w:marLeft w:val="0"/>
                      <w:marRight w:val="0"/>
                      <w:marTop w:val="0"/>
                      <w:marBottom w:val="0"/>
                      <w:divBdr>
                        <w:top w:val="none" w:sz="0" w:space="0" w:color="auto"/>
                        <w:left w:val="none" w:sz="0" w:space="0" w:color="auto"/>
                        <w:bottom w:val="none" w:sz="0" w:space="0" w:color="auto"/>
                        <w:right w:val="none" w:sz="0" w:space="0" w:color="auto"/>
                      </w:divBdr>
                      <w:divsChild>
                        <w:div w:id="1060980605">
                          <w:marLeft w:val="0"/>
                          <w:marRight w:val="0"/>
                          <w:marTop w:val="0"/>
                          <w:marBottom w:val="0"/>
                          <w:divBdr>
                            <w:top w:val="none" w:sz="0" w:space="0" w:color="auto"/>
                            <w:left w:val="none" w:sz="0" w:space="0" w:color="auto"/>
                            <w:bottom w:val="none" w:sz="0" w:space="0" w:color="auto"/>
                            <w:right w:val="none" w:sz="0" w:space="0" w:color="auto"/>
                          </w:divBdr>
                          <w:divsChild>
                            <w:div w:id="496264818">
                              <w:marLeft w:val="0"/>
                              <w:marRight w:val="0"/>
                              <w:marTop w:val="0"/>
                              <w:marBottom w:val="0"/>
                              <w:divBdr>
                                <w:top w:val="none" w:sz="0" w:space="0" w:color="auto"/>
                                <w:left w:val="none" w:sz="0" w:space="0" w:color="auto"/>
                                <w:bottom w:val="none" w:sz="0" w:space="0" w:color="auto"/>
                                <w:right w:val="none" w:sz="0" w:space="0" w:color="auto"/>
                              </w:divBdr>
                              <w:divsChild>
                                <w:div w:id="819619204">
                                  <w:marLeft w:val="0"/>
                                  <w:marRight w:val="0"/>
                                  <w:marTop w:val="0"/>
                                  <w:marBottom w:val="0"/>
                                  <w:divBdr>
                                    <w:top w:val="none" w:sz="0" w:space="0" w:color="auto"/>
                                    <w:left w:val="none" w:sz="0" w:space="0" w:color="auto"/>
                                    <w:bottom w:val="none" w:sz="0" w:space="0" w:color="auto"/>
                                    <w:right w:val="none" w:sz="0" w:space="0" w:color="auto"/>
                                  </w:divBdr>
                                  <w:divsChild>
                                    <w:div w:id="1938320002">
                                      <w:marLeft w:val="60"/>
                                      <w:marRight w:val="0"/>
                                      <w:marTop w:val="0"/>
                                      <w:marBottom w:val="0"/>
                                      <w:divBdr>
                                        <w:top w:val="none" w:sz="0" w:space="0" w:color="auto"/>
                                        <w:left w:val="none" w:sz="0" w:space="0" w:color="auto"/>
                                        <w:bottom w:val="none" w:sz="0" w:space="0" w:color="auto"/>
                                        <w:right w:val="none" w:sz="0" w:space="0" w:color="auto"/>
                                      </w:divBdr>
                                      <w:divsChild>
                                        <w:div w:id="188182696">
                                          <w:marLeft w:val="0"/>
                                          <w:marRight w:val="0"/>
                                          <w:marTop w:val="0"/>
                                          <w:marBottom w:val="0"/>
                                          <w:divBdr>
                                            <w:top w:val="none" w:sz="0" w:space="0" w:color="auto"/>
                                            <w:left w:val="none" w:sz="0" w:space="0" w:color="auto"/>
                                            <w:bottom w:val="none" w:sz="0" w:space="0" w:color="auto"/>
                                            <w:right w:val="none" w:sz="0" w:space="0" w:color="auto"/>
                                          </w:divBdr>
                                          <w:divsChild>
                                            <w:div w:id="1266034848">
                                              <w:marLeft w:val="0"/>
                                              <w:marRight w:val="0"/>
                                              <w:marTop w:val="0"/>
                                              <w:marBottom w:val="120"/>
                                              <w:divBdr>
                                                <w:top w:val="single" w:sz="6" w:space="0" w:color="F5F5F5"/>
                                                <w:left w:val="single" w:sz="6" w:space="0" w:color="F5F5F5"/>
                                                <w:bottom w:val="single" w:sz="6" w:space="0" w:color="F5F5F5"/>
                                                <w:right w:val="single" w:sz="6" w:space="0" w:color="F5F5F5"/>
                                              </w:divBdr>
                                              <w:divsChild>
                                                <w:div w:id="1805392369">
                                                  <w:marLeft w:val="0"/>
                                                  <w:marRight w:val="0"/>
                                                  <w:marTop w:val="0"/>
                                                  <w:marBottom w:val="0"/>
                                                  <w:divBdr>
                                                    <w:top w:val="none" w:sz="0" w:space="0" w:color="auto"/>
                                                    <w:left w:val="none" w:sz="0" w:space="0" w:color="auto"/>
                                                    <w:bottom w:val="none" w:sz="0" w:space="0" w:color="auto"/>
                                                    <w:right w:val="none" w:sz="0" w:space="0" w:color="auto"/>
                                                  </w:divBdr>
                                                  <w:divsChild>
                                                    <w:div w:id="20402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769817">
      <w:bodyDiv w:val="1"/>
      <w:marLeft w:val="0"/>
      <w:marRight w:val="0"/>
      <w:marTop w:val="0"/>
      <w:marBottom w:val="0"/>
      <w:divBdr>
        <w:top w:val="none" w:sz="0" w:space="0" w:color="auto"/>
        <w:left w:val="none" w:sz="0" w:space="0" w:color="auto"/>
        <w:bottom w:val="none" w:sz="0" w:space="0" w:color="auto"/>
        <w:right w:val="none" w:sz="0" w:space="0" w:color="auto"/>
      </w:divBdr>
    </w:div>
    <w:div w:id="18387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en/ALL/?uri=CELEX:52008PC0426" TargetMode="External"/><Relationship Id="rId18" Type="http://schemas.openxmlformats.org/officeDocument/2006/relationships/hyperlink" Target="http://eur-lex.europa.eu/LexUriServ/LexUriServ.do?uri=CELEX:32000L0078:en:HTML" TargetMode="External"/><Relationship Id="rId26" Type="http://schemas.openxmlformats.org/officeDocument/2006/relationships/hyperlink" Target="http://www.ohchr.org/EN/ProfessionalInterest/Pages/CESCR.aspx" TargetMode="External"/><Relationship Id="rId3" Type="http://schemas.openxmlformats.org/officeDocument/2006/relationships/styles" Target="styles.xml"/><Relationship Id="rId21" Type="http://schemas.openxmlformats.org/officeDocument/2006/relationships/hyperlink" Target="http://ec.europa.eu/social/main.jsp?catId=1079"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ur-lex.europa.eu/legal-content/EN/TXT/?uri=URISERV%3Al33230" TargetMode="External"/><Relationship Id="rId17" Type="http://schemas.openxmlformats.org/officeDocument/2006/relationships/hyperlink" Target="http://ec.europa.eu/social/main.jsp?langId=en&amp;catId=89&amp;newsId=2400" TargetMode="External"/><Relationship Id="rId25" Type="http://schemas.openxmlformats.org/officeDocument/2006/relationships/hyperlink" Target="http://www.ohchr.org/en/professionalinterest/pages/ccpr.aspx" TargetMode="External"/><Relationship Id="rId33" Type="http://schemas.openxmlformats.org/officeDocument/2006/relationships/hyperlink" Target="http://www.coe.int/t/e/social_cohesion/soc-sp/integration/02_council_of_europe_disability_action_pla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be/url?sa=t&amp;rct=j&amp;q=&amp;esrc=s&amp;source=web&amp;cd=3&amp;ved=0ahUKEwiyjNLx0-DJAhXJWRQKHZISCS4QFggpMAI&amp;url=http%3A%2F%2Fec.europa.eu%2Fsocial%2FBlobServlet%3FdocId%3D9761%26langId%3Den&amp;usg=AFQjCNEHusky8PXloS15d-PXOCRa0z5KrA&amp;sig2=mWRCIEGphWWlV6BzUPJirw&amp;cad=rja" TargetMode="External"/><Relationship Id="rId20" Type="http://schemas.openxmlformats.org/officeDocument/2006/relationships/hyperlink" Target="http://ec.europa.eu/social/main.jsp?catId=706&amp;langId=en&amp;intPageId=205" TargetMode="External"/><Relationship Id="rId29" Type="http://schemas.openxmlformats.org/officeDocument/2006/relationships/hyperlink" Target="http://www.un.org/disabilities/default.asp?id=1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N/TXT/?uri=celex%3A32006L0123" TargetMode="External"/><Relationship Id="rId24" Type="http://schemas.openxmlformats.org/officeDocument/2006/relationships/hyperlink" Target="file:///\\TRONE\Public\Projects%202015\D-LoT\ACTIVITIES\III.1.a%20Training%20Modules\Module%20II\data.consilium.europa.eu\doc\document\ST-14361-2015-INIT\en\pdf" TargetMode="External"/><Relationship Id="rId32" Type="http://schemas.openxmlformats.org/officeDocument/2006/relationships/hyperlink" Target="http://www.coe.int/t/democracy/committees_en.asp"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google.be/url?sa=t&amp;rct=j&amp;q=&amp;esrc=s&amp;source=web&amp;cd=2&amp;cad=rja&amp;uact=8&amp;ved=0ahUKEwiklKe_0-DJAhXKchQKHV5kBs4QFggpMAE&amp;url=http%3A%2F%2Feur-lex.europa.eu%2Flegal-content%2FEN%2FTXT%2F%3Furi%3Dcelex%3A52012SC0095&amp;usg=AFQjCNEXitwy6IxVDvugAVeWkFyKNu-VpA&amp;sig2=5ii6WRgp6piR5DWOo9Y3Ww&amp;bvm=bv.110151844,d.d24" TargetMode="External"/><Relationship Id="rId23" Type="http://schemas.openxmlformats.org/officeDocument/2006/relationships/hyperlink" Target="http://eur-lex.europa.eu/legal-content/EN/TXT/?uri=uriserv:OJ.L_.2014.094.01.0065.01.ENG" TargetMode="External"/><Relationship Id="rId28" Type="http://schemas.openxmlformats.org/officeDocument/2006/relationships/hyperlink" Target="https://www.google.be/url?sa=t&amp;rct=j&amp;q=&amp;esrc=s&amp;source=web&amp;cd=9&amp;cad=rja&amp;uact=8&amp;ved=0ahUKEwjNk8eNyuDJAhXG2CwKHeC3DbEQFghOMAg&amp;url=http%3A%2F%2Fwww.euroblind.org%2Fmedia%2Fprojects%2FUN-CRPD-Concluding-observations-on-EU-initial-report.doc&amp;usg=AFQjCNG6JHeZU-Nn6HppleJiWE0c0f4RvQ&amp;sig2=Z0gWBJ9XJiVDyPiyCQqA4Q" TargetMode="External"/><Relationship Id="rId36" Type="http://schemas.openxmlformats.org/officeDocument/2006/relationships/fontTable" Target="fontTable.xml"/><Relationship Id="rId10" Type="http://schemas.openxmlformats.org/officeDocument/2006/relationships/hyperlink" Target="https://books.google.be/books?hl=en&amp;lr=&amp;id=apg1WPiq-ToC&amp;oi=fnd&amp;pg=PA7&amp;dq=social+services+in+europe&amp;ots=swAtYvAMEO&amp;sig=DnyDChd_c2uE9qx4bOzTMJ1S-T0" TargetMode="External"/><Relationship Id="rId19" Type="http://schemas.openxmlformats.org/officeDocument/2006/relationships/hyperlink" Target="https://www.google.be/search?q=european+disability+strategy&amp;ie=utf-8&amp;oe=utf-8&amp;gws_rd=cr&amp;ei=tXRxVuqPLMW7UYHLgtAK" TargetMode="External"/><Relationship Id="rId31" Type="http://schemas.openxmlformats.org/officeDocument/2006/relationships/hyperlink" Target="http://www.un.org/esa/socdev/enable/dissre00.htm" TargetMode="External"/><Relationship Id="rId4" Type="http://schemas.microsoft.com/office/2007/relationships/stylesWithEffects" Target="stylesWithEffects.xml"/><Relationship Id="rId9" Type="http://schemas.openxmlformats.org/officeDocument/2006/relationships/hyperlink" Target="http://www.caritas.eu/functions/policy-advocacy/future-of-the-welfare-state" TargetMode="External"/><Relationship Id="rId14" Type="http://schemas.openxmlformats.org/officeDocument/2006/relationships/hyperlink" Target="https://www.google.be/url?sa=t&amp;rct=j&amp;q=&amp;esrc=s&amp;source=web&amp;cd=4&amp;cad=rja&amp;uact=8&amp;ved=0ahUKEwiyyfij5-zJAhVEPxQKHVTxB0YQFgg3MAM&amp;url=http%3A%2F%2Fec.europa.eu%2Fsocial%2FBlobServlet%3FdocId%3D7688%26langId%3Den&amp;usg=AFQjCNFDoY_7qBw1IZa70_QqZo1lmzRe5w&amp;sig2=dfyh_Y5mSYy_dIkeKq_vMA" TargetMode="External"/><Relationship Id="rId22" Type="http://schemas.openxmlformats.org/officeDocument/2006/relationships/hyperlink" Target="http://eur-lex.europa.eu/legal-content/EN/TXT/?uri=CELEX%3A32014R0651" TargetMode="External"/><Relationship Id="rId27" Type="http://schemas.openxmlformats.org/officeDocument/2006/relationships/hyperlink" Target="https://www.google.be/url?sa=t&amp;rct=j&amp;q=&amp;esrc=s&amp;source=web&amp;cd=1&amp;ved=0ahUKEwjm5MaOx-DJAhWB7BQKHbu8A1sQFggfMAA&amp;url=http%3A%2F%2Fec.europa.eu%2Fsocial%2FBlobServlet%3FdocId%3D6140%26langId%3Den&amp;usg=AFQjCNGE_ZJUxGM9hII6qC12hEVmUVbriA&amp;sig2=S0oDaLRreEpBRHudM4noUw&amp;cad=rja" TargetMode="External"/><Relationship Id="rId30" Type="http://schemas.openxmlformats.org/officeDocument/2006/relationships/hyperlink" Target="http://www.un.org/en/universal-declaration-human-rights/"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b2c4f1.JPG@b6e9c883.48aed167" TargetMode="External"/><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file:///C:\Users\lenovo\Downloads\States%20http:\eur-lex.europa.eu\legal-content\EN\TXT\HTML\%3furi=URISERV:l33230&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EE111BF6B74A819BD25113DB7A63CE"/>
        <w:category>
          <w:name w:val="General"/>
          <w:gallery w:val="placeholder"/>
        </w:category>
        <w:types>
          <w:type w:val="bbPlcHdr"/>
        </w:types>
        <w:behaviors>
          <w:behavior w:val="content"/>
        </w:behaviors>
        <w:guid w:val="{6064E94D-2619-4398-899A-D59358F18483}"/>
      </w:docPartPr>
      <w:docPartBody>
        <w:p w:rsidR="00B22482" w:rsidRDefault="004D67CE" w:rsidP="004D67CE">
          <w:pPr>
            <w:pStyle w:val="77EE111BF6B74A819BD25113DB7A63CE"/>
          </w:pPr>
          <w:r w:rsidRPr="007E6D61">
            <w:rPr>
              <w:rStyle w:val="Heading1Char"/>
            </w:rPr>
            <w:t>D-LoT E-Learning Course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D67CE"/>
    <w:rsid w:val="003867A7"/>
    <w:rsid w:val="004D67CE"/>
    <w:rsid w:val="005B3141"/>
    <w:rsid w:val="006402EC"/>
    <w:rsid w:val="00750018"/>
    <w:rsid w:val="00770547"/>
    <w:rsid w:val="009363EB"/>
    <w:rsid w:val="009C0BA1"/>
    <w:rsid w:val="009C4A3C"/>
    <w:rsid w:val="00B22482"/>
    <w:rsid w:val="00CD07D5"/>
    <w:rsid w:val="00CD1D18"/>
    <w:rsid w:val="00EC609B"/>
    <w:rsid w:val="00F02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EC"/>
  </w:style>
  <w:style w:type="paragraph" w:styleId="Heading1">
    <w:name w:val="heading 1"/>
    <w:basedOn w:val="Normal"/>
    <w:next w:val="Normal"/>
    <w:link w:val="Heading1Char"/>
    <w:qFormat/>
    <w:rsid w:val="004D67CE"/>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01BAB8FB84488687621E55DE921A04">
    <w:name w:val="EF01BAB8FB84488687621E55DE921A04"/>
    <w:rsid w:val="004D67CE"/>
  </w:style>
  <w:style w:type="character" w:styleId="PlaceholderText">
    <w:name w:val="Placeholder Text"/>
    <w:basedOn w:val="DefaultParagraphFont"/>
    <w:uiPriority w:val="99"/>
    <w:semiHidden/>
    <w:rsid w:val="004D67CE"/>
    <w:rPr>
      <w:color w:val="808080"/>
    </w:rPr>
  </w:style>
  <w:style w:type="character" w:customStyle="1" w:styleId="Heading1Char">
    <w:name w:val="Heading 1 Char"/>
    <w:basedOn w:val="DefaultParagraphFont"/>
    <w:link w:val="Heading1"/>
    <w:rsid w:val="004D67CE"/>
    <w:rPr>
      <w:rFonts w:asciiTheme="majorHAnsi" w:eastAsiaTheme="majorEastAsia" w:hAnsiTheme="majorHAnsi" w:cstheme="majorBidi"/>
      <w:b/>
      <w:bCs/>
      <w:color w:val="365F91" w:themeColor="accent1" w:themeShade="BF"/>
      <w:sz w:val="28"/>
      <w:szCs w:val="28"/>
      <w:lang w:eastAsia="fr-BE"/>
    </w:rPr>
  </w:style>
  <w:style w:type="paragraph" w:customStyle="1" w:styleId="6EA48DD6C53544D298000F433AA167F0">
    <w:name w:val="6EA48DD6C53544D298000F433AA167F0"/>
    <w:rsid w:val="004D67CE"/>
    <w:pPr>
      <w:tabs>
        <w:tab w:val="center" w:pos="4536"/>
        <w:tab w:val="right" w:pos="9072"/>
      </w:tabs>
      <w:spacing w:after="0" w:line="240" w:lineRule="auto"/>
      <w:jc w:val="both"/>
    </w:pPr>
    <w:rPr>
      <w:lang w:eastAsia="fr-BE"/>
    </w:rPr>
  </w:style>
  <w:style w:type="paragraph" w:customStyle="1" w:styleId="77EE111BF6B74A819BD25113DB7A63CE">
    <w:name w:val="77EE111BF6B74A819BD25113DB7A63CE"/>
    <w:rsid w:val="004D67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678E-3FA4-40DE-AA45-BEE8F56B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23483</Words>
  <Characters>13386</Characters>
  <Application>Microsoft Office Word</Application>
  <DocSecurity>0</DocSecurity>
  <Lines>111</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Event title</vt:lpstr>
      <vt:lpstr/>
    </vt:vector>
  </TitlesOfParts>
  <Company>HP</Company>
  <LinksUpToDate>false</LinksUpToDate>
  <CharactersWithSpaces>36796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title</dc:title>
  <dc:creator>Stefana Cankova [EASPD]</dc:creator>
  <cp:lastModifiedBy>lenovo</cp:lastModifiedBy>
  <cp:revision>2</cp:revision>
  <cp:lastPrinted>2016-02-18T18:46:00Z</cp:lastPrinted>
  <dcterms:created xsi:type="dcterms:W3CDTF">2022-06-08T09:44:00Z</dcterms:created>
  <dcterms:modified xsi:type="dcterms:W3CDTF">2022-06-08T09:44:00Z</dcterms:modified>
</cp:coreProperties>
</file>